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952E0" w14:textId="6B7E7A5C" w:rsidR="008A3282" w:rsidRDefault="008A3282" w:rsidP="008A32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109-e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220</w:t>
      </w:r>
      <w:r w:rsidR="00DE0BD0">
        <w:rPr>
          <w:rFonts w:ascii="Arial" w:hAnsi="Arial" w:cs="Arial"/>
          <w:b/>
          <w:bCs/>
        </w:rPr>
        <w:t>4248</w:t>
      </w:r>
    </w:p>
    <w:p w14:paraId="5A1D4566" w14:textId="77777777" w:rsidR="008A3282" w:rsidRPr="00210D4C" w:rsidRDefault="008A3282" w:rsidP="008A32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 9</w:t>
      </w:r>
      <w:r w:rsidRPr="00521E73">
        <w:rPr>
          <w:rFonts w:ascii="Arial" w:eastAsia="MS Mincho" w:hAnsi="Arial" w:cs="Arial"/>
          <w:b/>
          <w:bCs/>
          <w:vertAlign w:val="superscript"/>
          <w:lang w:eastAsia="ja-JP"/>
        </w:rPr>
        <w:t>t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1A098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2022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6FECA01C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FA72BF">
        <w:t>9.4.</w:t>
      </w:r>
      <w:r w:rsidR="00EF568A">
        <w:t>1.</w:t>
      </w:r>
      <w:r w:rsidR="00FA72BF">
        <w:t>2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7A71F5A7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EF568A" w:rsidRPr="00EF568A">
        <w:t xml:space="preserve">On </w:t>
      </w:r>
      <w:r w:rsidR="00592643">
        <w:t>P</w:t>
      </w:r>
      <w:r w:rsidR="00EF568A" w:rsidRPr="00EF568A">
        <w:t xml:space="preserve">hysical </w:t>
      </w:r>
      <w:r w:rsidR="00592643">
        <w:t>C</w:t>
      </w:r>
      <w:r w:rsidR="00EF568A" w:rsidRPr="00EF568A">
        <w:t xml:space="preserve">hannel </w:t>
      </w:r>
      <w:r w:rsidR="00592643">
        <w:t>D</w:t>
      </w:r>
      <w:r w:rsidR="00EF568A" w:rsidRPr="00EF568A">
        <w:t xml:space="preserve">esign </w:t>
      </w:r>
      <w:r w:rsidR="00592643">
        <w:t>F</w:t>
      </w:r>
      <w:r w:rsidR="00EF568A" w:rsidRPr="00EF568A">
        <w:t xml:space="preserve">ramework for </w:t>
      </w:r>
      <w:r w:rsidR="00592643">
        <w:t>S</w:t>
      </w:r>
      <w:r w:rsidR="00EF568A" w:rsidRPr="00EF568A">
        <w:t xml:space="preserve">idelink on FR1 </w:t>
      </w:r>
      <w:r w:rsidR="00592643">
        <w:t>U</w:t>
      </w:r>
      <w:r w:rsidR="00EF568A" w:rsidRPr="00EF568A">
        <w:t xml:space="preserve">nlicensed </w:t>
      </w:r>
      <w:r w:rsidR="00592643">
        <w:t>S</w:t>
      </w:r>
      <w:r w:rsidR="00EF568A" w:rsidRPr="00EF568A">
        <w:t>pectrum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17045BB0" w14:textId="41EE7560" w:rsidR="008A3282" w:rsidRDefault="008A3282" w:rsidP="008A3282">
      <w:pPr>
        <w:jc w:val="both"/>
      </w:pPr>
      <w:r>
        <w:t>The Release</w:t>
      </w:r>
      <w:r w:rsidR="00D25255">
        <w:t xml:space="preserve"> </w:t>
      </w:r>
      <w:r>
        <w:t>1</w:t>
      </w:r>
      <w:r w:rsidR="00FA72BF">
        <w:t>8</w:t>
      </w:r>
      <w:r>
        <w:t xml:space="preserve"> NR sidelink </w:t>
      </w:r>
      <w:r w:rsidR="00FA72BF">
        <w:t>evolution</w:t>
      </w:r>
      <w:r>
        <w:t xml:space="preserve"> work item </w:t>
      </w:r>
      <w:r w:rsidR="00FA72BF">
        <w:t>was approved in</w:t>
      </w:r>
      <w:r>
        <w:t xml:space="preserve"> RAN #9</w:t>
      </w:r>
      <w:r w:rsidR="00FA72BF">
        <w:t>4</w:t>
      </w:r>
      <w:r>
        <w:t>e meeting</w:t>
      </w:r>
      <w:r w:rsidR="00FA72BF">
        <w:t xml:space="preserve"> </w:t>
      </w:r>
      <w:r w:rsidR="00FA72BF">
        <w:fldChar w:fldCharType="begin"/>
      </w:r>
      <w:r w:rsidR="00FA72BF">
        <w:instrText xml:space="preserve"> REF _Ref99716514 \r \h </w:instrText>
      </w:r>
      <w:r w:rsidR="00FA72BF">
        <w:fldChar w:fldCharType="separate"/>
      </w:r>
      <w:r w:rsidR="00FA72BF">
        <w:t>[1]</w:t>
      </w:r>
      <w:r w:rsidR="00FA72BF">
        <w:fldChar w:fldCharType="end"/>
      </w:r>
      <w:r>
        <w:t xml:space="preserve">. </w:t>
      </w:r>
    </w:p>
    <w:p w14:paraId="2C6C67B1" w14:textId="41B518FE" w:rsidR="00FA72BF" w:rsidRDefault="00FA72BF" w:rsidP="008A3282">
      <w:pPr>
        <w:jc w:val="both"/>
      </w:pPr>
    </w:p>
    <w:p w14:paraId="5B8CAF55" w14:textId="0245CA75" w:rsidR="00FA72BF" w:rsidRDefault="00FA72BF" w:rsidP="008A3282">
      <w:pPr>
        <w:jc w:val="both"/>
      </w:pPr>
      <w:r>
        <w:t xml:space="preserve">One of the RAN1 objectives is to </w:t>
      </w:r>
      <w:r w:rsidR="00EF568A">
        <w:t>s</w:t>
      </w:r>
      <w:r w:rsidR="00EF568A" w:rsidRPr="00420B53">
        <w:rPr>
          <w:rFonts w:ascii="Times" w:hAnsi="Times" w:cs="Times"/>
        </w:rPr>
        <w:t xml:space="preserve">tudy </w:t>
      </w:r>
      <w:r w:rsidR="00EF568A">
        <w:rPr>
          <w:rFonts w:ascii="Times" w:hAnsi="Times" w:cs="Times"/>
        </w:rPr>
        <w:t>and specify</w:t>
      </w:r>
      <w:r w:rsidR="00EF568A" w:rsidRPr="00420B53">
        <w:rPr>
          <w:rFonts w:ascii="Times" w:hAnsi="Times" w:cs="Times"/>
        </w:rPr>
        <w:t xml:space="preserve"> support of sidelink on unlicensed spectrum for both mode 1 and mode 2 where </w:t>
      </w:r>
      <w:proofErr w:type="spellStart"/>
      <w:r w:rsidR="00EF568A" w:rsidRPr="00420B53">
        <w:rPr>
          <w:rFonts w:ascii="Times" w:hAnsi="Times" w:cs="Times"/>
        </w:rPr>
        <w:t>Uu</w:t>
      </w:r>
      <w:proofErr w:type="spellEnd"/>
      <w:r w:rsidR="00EF568A" w:rsidRPr="00420B53">
        <w:rPr>
          <w:rFonts w:ascii="Times" w:hAnsi="Times" w:cs="Times"/>
        </w:rPr>
        <w:t xml:space="preserve"> operation for mode 1 is limited to licensed spectrum only</w:t>
      </w:r>
      <w:r w:rsidR="00EF568A">
        <w:rPr>
          <w:rFonts w:ascii="Times" w:hAnsi="Times" w:cs="Times"/>
        </w:rPr>
        <w:t xml:space="preserve">. The objective involves the physical channel design framework, which includes changes to NR sidelink physical channel structures and procedures to operate on unlicensed spectrum. </w:t>
      </w:r>
    </w:p>
    <w:p w14:paraId="621BCD91" w14:textId="77777777" w:rsidR="004E60F2" w:rsidRDefault="004E60F2" w:rsidP="004E60F2">
      <w:pPr>
        <w:jc w:val="both"/>
      </w:pPr>
    </w:p>
    <w:p w14:paraId="65E8C13E" w14:textId="235C1045" w:rsidR="006400C7" w:rsidRPr="006400C7" w:rsidRDefault="006400C7" w:rsidP="00CD60DA">
      <w:pPr>
        <w:jc w:val="both"/>
      </w:pPr>
      <w:r>
        <w:t xml:space="preserve">In this contribution, we </w:t>
      </w:r>
      <w:r w:rsidR="00991887">
        <w:t xml:space="preserve">provide our views on the </w:t>
      </w:r>
      <w:r w:rsidR="00EF568A">
        <w:t>physical channel design framework for sidelink on FR1 unlicensed spectrum</w:t>
      </w:r>
      <w:r w:rsidR="009B49F1">
        <w:t>.</w:t>
      </w:r>
    </w:p>
    <w:p w14:paraId="27F9DB98" w14:textId="19316EDF" w:rsidR="003F245C" w:rsidRDefault="00EA5A5B" w:rsidP="00E465DA">
      <w:pPr>
        <w:pStyle w:val="Heading1"/>
      </w:pPr>
      <w:r>
        <w:t>Discussion</w:t>
      </w:r>
    </w:p>
    <w:p w14:paraId="2E233C15" w14:textId="1F0F64DD" w:rsidR="000E5C88" w:rsidRDefault="000E5C88" w:rsidP="00631345">
      <w:pPr>
        <w:jc w:val="both"/>
      </w:pPr>
      <w:r>
        <w:t xml:space="preserve">To operate on </w:t>
      </w:r>
      <w:r w:rsidR="002E238E">
        <w:t xml:space="preserve">FR1 </w:t>
      </w:r>
      <w:r>
        <w:t xml:space="preserve">unlicensed spectrum, </w:t>
      </w:r>
      <w:r w:rsidR="00E465DA">
        <w:t>a list of restrictions ha</w:t>
      </w:r>
      <w:r w:rsidR="00807B72">
        <w:t>s</w:t>
      </w:r>
      <w:r w:rsidR="00E465DA">
        <w:t xml:space="preserve"> to be followed </w:t>
      </w:r>
      <w:r w:rsidR="00E465DA">
        <w:fldChar w:fldCharType="begin"/>
      </w:r>
      <w:r w:rsidR="00E465DA">
        <w:instrText xml:space="preserve"> REF _Ref101263304 \r \h </w:instrText>
      </w:r>
      <w:r w:rsidR="00E465DA">
        <w:fldChar w:fldCharType="separate"/>
      </w:r>
      <w:r w:rsidR="00E465DA">
        <w:t>[2]</w:t>
      </w:r>
      <w:r w:rsidR="00E465DA">
        <w:fldChar w:fldCharType="end"/>
      </w:r>
      <w:r w:rsidR="00E465DA">
        <w:t xml:space="preserve">. One </w:t>
      </w:r>
      <w:r w:rsidR="002E238E">
        <w:t>restriction</w:t>
      </w:r>
      <w:r w:rsidR="00E465DA">
        <w:t xml:space="preserve"> is that the nominal channel bandwidth for a single operating channel is 20 MHz</w:t>
      </w:r>
      <w:r w:rsidR="002E238E">
        <w:t xml:space="preserve"> and t</w:t>
      </w:r>
      <w:r w:rsidR="00807B72">
        <w:t xml:space="preserve">he Occupied Channel Bandwidth (OCB) shall be between 80% and 100% of the nominal channel bandwidth. </w:t>
      </w:r>
    </w:p>
    <w:p w14:paraId="0F7559AB" w14:textId="23FDAAB2" w:rsidR="00807B72" w:rsidRDefault="00807B72" w:rsidP="00631345">
      <w:pPr>
        <w:jc w:val="both"/>
      </w:pPr>
    </w:p>
    <w:p w14:paraId="558A43A2" w14:textId="2F61ABAF" w:rsidR="00807B72" w:rsidRDefault="00807B72" w:rsidP="00631345">
      <w:pPr>
        <w:jc w:val="both"/>
      </w:pPr>
      <w:r>
        <w:t xml:space="preserve">In NR sidelink, a sidelink BWP configures UE specific sidelink communication. </w:t>
      </w:r>
      <w:r w:rsidR="00D84FEF">
        <w:t xml:space="preserve">UE is configured with a single sidelink BWP, where one or more resource pools can be contained in the sidelink BWP.  </w:t>
      </w:r>
      <w:r>
        <w:t xml:space="preserve">To align with the nominal channel bandwidth of 20 MHz in unlicensed spectrum, it is preferred that the sidelink BWP is an integer multiple of 20 </w:t>
      </w:r>
      <w:proofErr w:type="spellStart"/>
      <w:r>
        <w:t>MHz.</w:t>
      </w:r>
      <w:proofErr w:type="spellEnd"/>
      <w:r>
        <w:t xml:space="preserve"> Each resource pool could</w:t>
      </w:r>
      <w:r w:rsidR="00DC031D">
        <w:t xml:space="preserve"> also</w:t>
      </w:r>
      <w:r>
        <w:t xml:space="preserve"> be configured as an integer multiple of 20 </w:t>
      </w:r>
      <w:proofErr w:type="spellStart"/>
      <w:r>
        <w:t>MHz.</w:t>
      </w:r>
      <w:proofErr w:type="spellEnd"/>
      <w:r>
        <w:t xml:space="preserve"> This facilitates UE’s LBT sensing operations on each resource pool. </w:t>
      </w:r>
    </w:p>
    <w:p w14:paraId="38C011D6" w14:textId="77777777" w:rsidR="00807B72" w:rsidRDefault="00807B72" w:rsidP="00631345">
      <w:pPr>
        <w:jc w:val="both"/>
      </w:pPr>
    </w:p>
    <w:p w14:paraId="150569A1" w14:textId="50D8FB07" w:rsidR="00FA72BF" w:rsidRDefault="00FA72BF" w:rsidP="00631345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>Proposal 1:</w:t>
      </w:r>
      <w:r>
        <w:t xml:space="preserve"> </w:t>
      </w:r>
      <w:r w:rsidR="00EF568A" w:rsidRPr="00EF568A">
        <w:rPr>
          <w:i/>
          <w:iCs/>
        </w:rPr>
        <w:t>For sidelink operations on unlicensed spectrum, a sidelink BWP</w:t>
      </w:r>
      <w:r w:rsidR="00DC031D">
        <w:rPr>
          <w:i/>
          <w:iCs/>
        </w:rPr>
        <w:t xml:space="preserve"> or a resource pool is</w:t>
      </w:r>
      <w:r w:rsidR="00EF568A" w:rsidRPr="00EF568A">
        <w:rPr>
          <w:i/>
          <w:iCs/>
        </w:rPr>
        <w:t xml:space="preserve"> </w:t>
      </w:r>
      <w:r w:rsidR="00807B72">
        <w:rPr>
          <w:i/>
          <w:iCs/>
        </w:rPr>
        <w:t xml:space="preserve">an </w:t>
      </w:r>
      <w:r w:rsidR="00EF568A" w:rsidRPr="00EF568A">
        <w:rPr>
          <w:i/>
          <w:iCs/>
        </w:rPr>
        <w:t>integer multiple of 20 MHz bandwidth.</w:t>
      </w:r>
    </w:p>
    <w:p w14:paraId="16F39CE0" w14:textId="1AD5E936" w:rsidR="00D84FEF" w:rsidRDefault="00D84FEF" w:rsidP="00631345">
      <w:pPr>
        <w:jc w:val="both"/>
        <w:rPr>
          <w:i/>
          <w:iCs/>
        </w:rPr>
      </w:pPr>
    </w:p>
    <w:p w14:paraId="1B607A10" w14:textId="755CDCCB" w:rsidR="00D84FEF" w:rsidRDefault="00D84FEF" w:rsidP="00631345">
      <w:pPr>
        <w:jc w:val="both"/>
      </w:pPr>
      <w:r>
        <w:t xml:space="preserve">In </w:t>
      </w:r>
      <w:proofErr w:type="spellStart"/>
      <w:r>
        <w:t>eLAA</w:t>
      </w:r>
      <w:proofErr w:type="spellEnd"/>
      <w:r>
        <w:t xml:space="preserve"> and NR-U, the uplink transmission is based on interlaced waveform in frequency domain.</w:t>
      </w:r>
      <w:r w:rsidR="0068025C">
        <w:t xml:space="preserve"> </w:t>
      </w:r>
      <w:r>
        <w:t xml:space="preserve">NR-U </w:t>
      </w:r>
      <w:r w:rsidR="0068025C">
        <w:t>defines RB level interlace</w:t>
      </w:r>
      <w:r w:rsidR="00DC031D">
        <w:t>, or interlaced RB</w:t>
      </w:r>
      <w:r w:rsidR="00BB5C68">
        <w:t>s</w:t>
      </w:r>
      <w:r w:rsidR="0068025C">
        <w:t>. At sub-carrier spacing of 15 kHz, there are a total of 106 PRBs in 20 MHz bandwidth. Each interlace occupies 10 or 11 PRBs, where t</w:t>
      </w:r>
      <w:r w:rsidR="00DC031D">
        <w:t>wo</w:t>
      </w:r>
      <w:r w:rsidR="0068025C">
        <w:t xml:space="preserve"> neighbor PRB</w:t>
      </w:r>
      <w:r w:rsidR="00DC031D">
        <w:t>s</w:t>
      </w:r>
      <w:r w:rsidR="0068025C">
        <w:t xml:space="preserve"> </w:t>
      </w:r>
      <w:r w:rsidR="00DC031D">
        <w:t>with</w:t>
      </w:r>
      <w:r w:rsidR="0068025C">
        <w:t xml:space="preserve">in an interlace is separated by </w:t>
      </w:r>
      <w:r w:rsidR="00E41FF0">
        <w:t>10</w:t>
      </w:r>
      <w:r w:rsidR="0068025C">
        <w:t xml:space="preserve"> PRBs. </w:t>
      </w:r>
      <w:r w:rsidR="00E41FF0">
        <w:t>Hence, there are a total of 10 interlaces in 20 MHz bandwidth. At sub-carrier spacing of 30 kHz, there are a total of 51 PRBs in 20 MHz bandwidth. Each interlace occupies 10 or 11 PRBs, where t</w:t>
      </w:r>
      <w:r w:rsidR="00DC031D">
        <w:t>wo</w:t>
      </w:r>
      <w:r w:rsidR="00E41FF0">
        <w:t xml:space="preserve"> neighbor PRB</w:t>
      </w:r>
      <w:r w:rsidR="00DC031D">
        <w:t>s</w:t>
      </w:r>
      <w:r w:rsidR="00E41FF0">
        <w:t xml:space="preserve"> </w:t>
      </w:r>
      <w:r w:rsidR="00BB5C68">
        <w:t>with</w:t>
      </w:r>
      <w:r w:rsidR="00E41FF0">
        <w:t xml:space="preserve">in an interlace is separated by 5 PRBs. Hence, there are a total of 5 interlaces in 20 MHz bandwidth. </w:t>
      </w:r>
      <w:r w:rsidR="00A45B00">
        <w:t xml:space="preserve">This interlaced waveform is aimed to fulfill the 80% OCB requirement on unlicensed spectrum. </w:t>
      </w:r>
    </w:p>
    <w:p w14:paraId="5AE19428" w14:textId="1AFDACC8" w:rsidR="00E41FF0" w:rsidRDefault="00E41FF0" w:rsidP="00631345">
      <w:pPr>
        <w:jc w:val="both"/>
      </w:pPr>
    </w:p>
    <w:p w14:paraId="37FF36C6" w14:textId="77777777" w:rsidR="00BB5C68" w:rsidRDefault="00E41FF0" w:rsidP="00631345">
      <w:pPr>
        <w:jc w:val="both"/>
      </w:pPr>
      <w:r>
        <w:t>In</w:t>
      </w:r>
      <w:r w:rsidR="00A45B00">
        <w:t xml:space="preserve"> Release 16/17</w:t>
      </w:r>
      <w:r>
        <w:t xml:space="preserve"> NR sidelink, a sub-channel is composed of contiguous </w:t>
      </w:r>
      <w:r w:rsidR="00A45B00">
        <w:t xml:space="preserve">PRBs. A UE may use one or more sub-channels in a slot for its PSCCH/PSSCH transmissions. However, the contiguous PRBs of </w:t>
      </w:r>
      <w:r w:rsidR="00CE46BC">
        <w:lastRenderedPageBreak/>
        <w:t>a</w:t>
      </w:r>
      <w:r w:rsidR="00A45B00">
        <w:t xml:space="preserve"> sub-channel does not ensure that </w:t>
      </w:r>
      <w:r w:rsidR="00381A62">
        <w:t xml:space="preserve">the </w:t>
      </w:r>
      <w:r w:rsidR="00A45B00">
        <w:t xml:space="preserve">UE </w:t>
      </w:r>
      <w:r w:rsidR="00381A62">
        <w:t xml:space="preserve">using </w:t>
      </w:r>
      <w:r w:rsidR="00CE46BC">
        <w:t>a</w:t>
      </w:r>
      <w:r w:rsidR="00381A62">
        <w:t xml:space="preserve"> sub-channel </w:t>
      </w:r>
      <w:r w:rsidR="00A45B00">
        <w:t>satisfies the OCB requirement</w:t>
      </w:r>
      <w:r w:rsidR="00CE46BC">
        <w:t xml:space="preserve"> on unlicensed spectrum. </w:t>
      </w:r>
    </w:p>
    <w:p w14:paraId="7501B517" w14:textId="77777777" w:rsidR="00BB5C68" w:rsidRDefault="00BB5C68" w:rsidP="00631345">
      <w:pPr>
        <w:jc w:val="both"/>
      </w:pPr>
    </w:p>
    <w:p w14:paraId="7DD0B2D1" w14:textId="494D10B6" w:rsidR="00BB5C68" w:rsidRDefault="00CE46BC" w:rsidP="00631345">
      <w:pPr>
        <w:jc w:val="both"/>
      </w:pPr>
      <w:r>
        <w:t xml:space="preserve">Hence, a sub-channel in unlicensed spectrum </w:t>
      </w:r>
      <w:r w:rsidR="00D25255">
        <w:t>should be</w:t>
      </w:r>
      <w:r>
        <w:t xml:space="preserve"> </w:t>
      </w:r>
      <w:r w:rsidR="009B04D4">
        <w:t xml:space="preserve">defined </w:t>
      </w:r>
      <w:r w:rsidR="00BB5C68">
        <w:t xml:space="preserve">based on interlaced RBs. </w:t>
      </w:r>
      <w:r>
        <w:t>Like NR-U design, each interlace occupies 10 or 11 PRBs where t</w:t>
      </w:r>
      <w:r w:rsidR="009B04D4">
        <w:t>wo</w:t>
      </w:r>
      <w:r>
        <w:t xml:space="preserve"> neighbor PRB </w:t>
      </w:r>
      <w:r w:rsidR="009B04D4">
        <w:t>with</w:t>
      </w:r>
      <w:r>
        <w:t>in an interlace is separated by 10 PRBs</w:t>
      </w:r>
      <w:r w:rsidR="009B04D4">
        <w:t xml:space="preserve"> or 5 PRBs for 15 kHz or </w:t>
      </w:r>
      <w:r>
        <w:t>30 kHz sub-carrier spacing.</w:t>
      </w:r>
      <w:r w:rsidR="00BB5C68">
        <w:t xml:space="preserve"> A sub-channel may be </w:t>
      </w:r>
      <w:r w:rsidR="009B04D4">
        <w:t xml:space="preserve">configured as </w:t>
      </w:r>
      <w:r w:rsidR="00BB5C68">
        <w:t>1 or more contiguous interlaces.</w:t>
      </w:r>
      <w:r w:rsidR="009B04D4">
        <w:t xml:space="preserve"> </w:t>
      </w:r>
    </w:p>
    <w:p w14:paraId="6EDE9980" w14:textId="77777777" w:rsidR="00D84FEF" w:rsidRPr="00D84FEF" w:rsidRDefault="00D84FEF" w:rsidP="00631345">
      <w:pPr>
        <w:jc w:val="both"/>
      </w:pPr>
    </w:p>
    <w:p w14:paraId="55EE1D8E" w14:textId="77777777" w:rsidR="009B04D4" w:rsidRDefault="00EF568A" w:rsidP="009B04D4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Pr="00EF568A">
        <w:rPr>
          <w:i/>
          <w:iCs/>
        </w:rPr>
        <w:t>For sidelink operations on unlicensed spectrum,</w:t>
      </w:r>
      <w:r>
        <w:rPr>
          <w:i/>
          <w:iCs/>
        </w:rPr>
        <w:t xml:space="preserve"> </w:t>
      </w:r>
      <w:r w:rsidR="00BB5C68">
        <w:rPr>
          <w:i/>
          <w:iCs/>
        </w:rPr>
        <w:t>a sub-channel is</w:t>
      </w:r>
      <w:r w:rsidR="009B04D4">
        <w:rPr>
          <w:i/>
          <w:iCs/>
        </w:rPr>
        <w:t xml:space="preserve"> defined</w:t>
      </w:r>
      <w:r w:rsidR="00BB5C68">
        <w:rPr>
          <w:i/>
          <w:iCs/>
        </w:rPr>
        <w:t xml:space="preserve"> based on</w:t>
      </w:r>
      <w:r w:rsidRPr="00EF568A">
        <w:rPr>
          <w:i/>
          <w:iCs/>
        </w:rPr>
        <w:t xml:space="preserve"> interlaced </w:t>
      </w:r>
      <w:r w:rsidR="00DC031D">
        <w:rPr>
          <w:i/>
          <w:iCs/>
        </w:rPr>
        <w:t>RBs</w:t>
      </w:r>
      <w:r w:rsidRPr="00EF568A">
        <w:rPr>
          <w:i/>
          <w:iCs/>
        </w:rPr>
        <w:t xml:space="preserve"> to meet the OCB requirement.</w:t>
      </w:r>
    </w:p>
    <w:p w14:paraId="0B25BEF4" w14:textId="5CE2B0B7" w:rsidR="00EF568A" w:rsidRPr="009B04D4" w:rsidRDefault="00E70725" w:rsidP="009B04D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An</w:t>
      </w:r>
      <w:r w:rsidR="00EF568A" w:rsidRPr="009B04D4">
        <w:rPr>
          <w:rFonts w:ascii="Times New Roman" w:hAnsi="Times New Roman"/>
          <w:i/>
          <w:iCs/>
          <w:sz w:val="24"/>
          <w:szCs w:val="24"/>
        </w:rPr>
        <w:t xml:space="preserve"> interlace occupies 10 or 11 PRBs</w:t>
      </w:r>
    </w:p>
    <w:p w14:paraId="176D7D9F" w14:textId="544C4598" w:rsidR="00EF568A" w:rsidRDefault="00EF568A" w:rsidP="00EF568A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EF568A">
        <w:rPr>
          <w:rFonts w:ascii="Times New Roman" w:hAnsi="Times New Roman"/>
          <w:i/>
          <w:iCs/>
          <w:sz w:val="24"/>
          <w:szCs w:val="24"/>
        </w:rPr>
        <w:t xml:space="preserve">PRB spacing </w:t>
      </w:r>
      <w:r w:rsidR="009B04D4">
        <w:rPr>
          <w:rFonts w:ascii="Times New Roman" w:hAnsi="Times New Roman"/>
          <w:i/>
          <w:iCs/>
          <w:sz w:val="24"/>
          <w:szCs w:val="24"/>
        </w:rPr>
        <w:t>with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in </w:t>
      </w:r>
      <w:r w:rsidR="00E70725">
        <w:rPr>
          <w:rFonts w:ascii="Times New Roman" w:hAnsi="Times New Roman"/>
          <w:i/>
          <w:iCs/>
          <w:sz w:val="24"/>
          <w:szCs w:val="24"/>
        </w:rPr>
        <w:t>an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interlace is </w:t>
      </w:r>
      <w:r w:rsidR="009B04D4">
        <w:rPr>
          <w:rFonts w:ascii="Times New Roman" w:hAnsi="Times New Roman"/>
          <w:i/>
          <w:iCs/>
          <w:sz w:val="24"/>
          <w:szCs w:val="24"/>
        </w:rPr>
        <w:t>10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or </w:t>
      </w:r>
      <w:r w:rsidR="009B04D4">
        <w:rPr>
          <w:rFonts w:ascii="Times New Roman" w:hAnsi="Times New Roman"/>
          <w:i/>
          <w:iCs/>
          <w:sz w:val="24"/>
          <w:szCs w:val="24"/>
        </w:rPr>
        <w:t>5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PRBs</w:t>
      </w:r>
      <w:r w:rsidR="009B04D4">
        <w:rPr>
          <w:rFonts w:ascii="Times New Roman" w:hAnsi="Times New Roman"/>
          <w:i/>
          <w:iCs/>
          <w:sz w:val="24"/>
          <w:szCs w:val="24"/>
        </w:rPr>
        <w:t xml:space="preserve"> for 15 kHz or 30 kHz sub-carrier spacing</w:t>
      </w:r>
    </w:p>
    <w:p w14:paraId="4C7212A1" w14:textId="5E5793D6" w:rsidR="009B04D4" w:rsidRPr="009B04D4" w:rsidRDefault="009B04D4" w:rsidP="009B04D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 sub-channel is configured as 1 or more contiguous interlaces</w:t>
      </w:r>
    </w:p>
    <w:p w14:paraId="226C9A6F" w14:textId="60CF7426" w:rsidR="009B04D4" w:rsidRDefault="009B04D4" w:rsidP="00EF568A">
      <w:pPr>
        <w:tabs>
          <w:tab w:val="left" w:pos="640"/>
        </w:tabs>
        <w:jc w:val="both"/>
        <w:rPr>
          <w:i/>
        </w:rPr>
      </w:pPr>
    </w:p>
    <w:p w14:paraId="6E76348F" w14:textId="33EDC423" w:rsidR="008162E7" w:rsidRDefault="009B04D4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In Release 16/17 NR sidelink, PSFCH </w:t>
      </w:r>
      <w:r w:rsidR="008162E7">
        <w:rPr>
          <w:iCs/>
        </w:rPr>
        <w:t>follows the design of</w:t>
      </w:r>
      <w:r>
        <w:rPr>
          <w:iCs/>
        </w:rPr>
        <w:t xml:space="preserve"> PUCCH format 0. Each PSFCH is a length-12 sequence and occupies 1 PRB. To satisfy the OCB requirement, </w:t>
      </w:r>
      <w:r w:rsidR="008162E7">
        <w:rPr>
          <w:iCs/>
        </w:rPr>
        <w:t xml:space="preserve">the RB level interlaced PSFCH </w:t>
      </w:r>
      <w:r w:rsidR="00E70725">
        <w:rPr>
          <w:iCs/>
        </w:rPr>
        <w:t>sh</w:t>
      </w:r>
      <w:r w:rsidR="008162E7">
        <w:rPr>
          <w:iCs/>
        </w:rPr>
        <w:t xml:space="preserve">ould be considered. </w:t>
      </w:r>
      <w:r w:rsidR="00E70725">
        <w:rPr>
          <w:iCs/>
        </w:rPr>
        <w:t xml:space="preserve">Specifically, a </w:t>
      </w:r>
      <w:r w:rsidR="008162E7">
        <w:rPr>
          <w:iCs/>
        </w:rPr>
        <w:t xml:space="preserve">PSFCH </w:t>
      </w:r>
      <w:r w:rsidR="00E70725">
        <w:rPr>
          <w:iCs/>
        </w:rPr>
        <w:t xml:space="preserve">resource is composed of </w:t>
      </w:r>
      <w:r w:rsidR="008162E7">
        <w:rPr>
          <w:iCs/>
        </w:rPr>
        <w:t xml:space="preserve">10 or 11 PRBs </w:t>
      </w:r>
      <w:r w:rsidR="00E70725">
        <w:rPr>
          <w:iCs/>
        </w:rPr>
        <w:t xml:space="preserve">where two neighbor PRBs in a PSFCH resource has the spacing of </w:t>
      </w:r>
      <w:r w:rsidR="008162E7">
        <w:rPr>
          <w:iCs/>
        </w:rPr>
        <w:t xml:space="preserve">10 or 5 PRBs for 15 kHz or 30 kHz sub-carrier spacing. </w:t>
      </w:r>
    </w:p>
    <w:p w14:paraId="5E3272E1" w14:textId="77777777" w:rsidR="008162E7" w:rsidRDefault="008162E7" w:rsidP="00EF568A">
      <w:pPr>
        <w:tabs>
          <w:tab w:val="left" w:pos="640"/>
        </w:tabs>
        <w:jc w:val="both"/>
        <w:rPr>
          <w:iCs/>
        </w:rPr>
      </w:pPr>
    </w:p>
    <w:p w14:paraId="11A7B5DE" w14:textId="1CE0DA87" w:rsidR="009B04D4" w:rsidRDefault="008162E7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Like the design of PUCCH format 0 in NR-U, the cyclic shift </w:t>
      </w:r>
      <w:r w:rsidR="00E70725">
        <w:rPr>
          <w:iCs/>
        </w:rPr>
        <w:t>used in generating P</w:t>
      </w:r>
      <w:r>
        <w:rPr>
          <w:iCs/>
        </w:rPr>
        <w:t>SFCH sequence</w:t>
      </w:r>
      <w:r w:rsidR="00E70725">
        <w:rPr>
          <w:iCs/>
        </w:rPr>
        <w:t xml:space="preserve">s for different PRBs in </w:t>
      </w:r>
      <w:r>
        <w:rPr>
          <w:iCs/>
        </w:rPr>
        <w:t xml:space="preserve">a PSFCH </w:t>
      </w:r>
      <w:r w:rsidR="00E70725">
        <w:rPr>
          <w:iCs/>
        </w:rPr>
        <w:t>resource</w:t>
      </w:r>
      <w:r>
        <w:rPr>
          <w:iCs/>
        </w:rPr>
        <w:t xml:space="preserve"> could be cycled. </w:t>
      </w:r>
    </w:p>
    <w:p w14:paraId="6A784286" w14:textId="7207E03B" w:rsidR="009B04D4" w:rsidRDefault="009B04D4" w:rsidP="00EF568A">
      <w:pPr>
        <w:tabs>
          <w:tab w:val="left" w:pos="640"/>
        </w:tabs>
        <w:jc w:val="both"/>
        <w:rPr>
          <w:iCs/>
        </w:rPr>
      </w:pPr>
    </w:p>
    <w:p w14:paraId="24FA0615" w14:textId="77777777" w:rsidR="004A3594" w:rsidRDefault="008162E7" w:rsidP="00EF568A">
      <w:pPr>
        <w:tabs>
          <w:tab w:val="left" w:pos="640"/>
        </w:tabs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Pr="00EF568A">
        <w:rPr>
          <w:i/>
          <w:iCs/>
        </w:rPr>
        <w:t>For</w:t>
      </w:r>
      <w:r>
        <w:rPr>
          <w:i/>
          <w:iCs/>
        </w:rPr>
        <w:t xml:space="preserve"> sidelink operations on unlicensed spectrum, a PSFCH resource is based on interlaced RBs to meet the OCB requirement</w:t>
      </w:r>
      <w:r w:rsidR="004A3594">
        <w:rPr>
          <w:i/>
          <w:iCs/>
        </w:rPr>
        <w:t>.</w:t>
      </w:r>
    </w:p>
    <w:p w14:paraId="7FAD5DFC" w14:textId="0633A763" w:rsidR="00E70725" w:rsidRDefault="00E70725" w:rsidP="004A359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A </w:t>
      </w:r>
      <w:r w:rsidR="008162E7" w:rsidRPr="004A3594">
        <w:rPr>
          <w:rFonts w:ascii="Times New Roman" w:hAnsi="Times New Roman"/>
          <w:i/>
          <w:iCs/>
          <w:sz w:val="24"/>
          <w:szCs w:val="24"/>
        </w:rPr>
        <w:t xml:space="preserve">PSFCH </w:t>
      </w:r>
      <w:r>
        <w:rPr>
          <w:rFonts w:ascii="Times New Roman" w:hAnsi="Times New Roman"/>
          <w:i/>
          <w:iCs/>
          <w:sz w:val="24"/>
          <w:szCs w:val="24"/>
        </w:rPr>
        <w:t>resource is composed of 10 or 11 PRBs</w:t>
      </w:r>
    </w:p>
    <w:p w14:paraId="0DBA5879" w14:textId="2835E68E" w:rsidR="008162E7" w:rsidRDefault="00E70725" w:rsidP="004A359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PRB spacing within a PSFCH resource</w:t>
      </w:r>
      <w:r w:rsidR="008162E7" w:rsidRPr="004A359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is </w:t>
      </w:r>
      <w:r>
        <w:rPr>
          <w:rFonts w:ascii="Times New Roman" w:hAnsi="Times New Roman"/>
          <w:i/>
          <w:iCs/>
          <w:sz w:val="24"/>
          <w:szCs w:val="24"/>
        </w:rPr>
        <w:t>10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or 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PRBs</w:t>
      </w:r>
      <w:r>
        <w:rPr>
          <w:rFonts w:ascii="Times New Roman" w:hAnsi="Times New Roman"/>
          <w:i/>
          <w:iCs/>
          <w:sz w:val="24"/>
          <w:szCs w:val="24"/>
        </w:rPr>
        <w:t xml:space="preserve"> for 15 kHz or 30 kHz sub-carrier spacing</w:t>
      </w:r>
    </w:p>
    <w:p w14:paraId="032F5122" w14:textId="2043D191" w:rsidR="004A3594" w:rsidRPr="004A3594" w:rsidRDefault="004A3594" w:rsidP="004A359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PSFCH sequence</w:t>
      </w:r>
      <w:r w:rsidR="00673E42">
        <w:rPr>
          <w:rFonts w:ascii="Times New Roman" w:hAnsi="Times New Roman"/>
          <w:i/>
          <w:iCs/>
          <w:sz w:val="24"/>
          <w:szCs w:val="24"/>
        </w:rPr>
        <w:t>s</w:t>
      </w:r>
      <w:r w:rsidR="00E70725">
        <w:rPr>
          <w:rFonts w:ascii="Times New Roman" w:hAnsi="Times New Roman"/>
          <w:i/>
          <w:iCs/>
          <w:sz w:val="24"/>
          <w:szCs w:val="24"/>
        </w:rPr>
        <w:t xml:space="preserve"> on different PRBs in a PSFCH resource </w:t>
      </w:r>
      <w:r w:rsidR="00673E42">
        <w:rPr>
          <w:rFonts w:ascii="Times New Roman" w:hAnsi="Times New Roman"/>
          <w:i/>
          <w:iCs/>
          <w:sz w:val="24"/>
          <w:szCs w:val="24"/>
        </w:rPr>
        <w:t>are</w:t>
      </w:r>
      <w:r w:rsidR="00E70725">
        <w:rPr>
          <w:rFonts w:ascii="Times New Roman" w:hAnsi="Times New Roman"/>
          <w:i/>
          <w:iCs/>
          <w:sz w:val="24"/>
          <w:szCs w:val="24"/>
        </w:rPr>
        <w:t xml:space="preserve"> generated </w:t>
      </w:r>
      <w:r w:rsidR="00673E42">
        <w:rPr>
          <w:rFonts w:ascii="Times New Roman" w:hAnsi="Times New Roman"/>
          <w:i/>
          <w:iCs/>
          <w:sz w:val="24"/>
          <w:szCs w:val="24"/>
        </w:rPr>
        <w:t xml:space="preserve">based on cyclic shift cycling. </w:t>
      </w:r>
    </w:p>
    <w:p w14:paraId="21D9030E" w14:textId="77777777" w:rsidR="00475652" w:rsidRDefault="00475652" w:rsidP="00EF568A">
      <w:pPr>
        <w:tabs>
          <w:tab w:val="left" w:pos="640"/>
        </w:tabs>
        <w:jc w:val="both"/>
        <w:rPr>
          <w:i/>
        </w:rPr>
      </w:pPr>
    </w:p>
    <w:p w14:paraId="54ECF3B5" w14:textId="5DB23CC2" w:rsidR="00397287" w:rsidRDefault="00397287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The legacy S-SSB occupies 11 PRBs in frequency. This is about 2 MHz or 4 MHz bandwidth at sub-carrier spacing of 15 kHz and 30 kHz, respectively. Obviously, the transmission of the legacy S-SSB does not satisfy the OCB requirements of 80% of the 20 MHz sensing bandwidth. To meet the OCB requirement, </w:t>
      </w:r>
      <w:r w:rsidR="00673E42">
        <w:rPr>
          <w:iCs/>
        </w:rPr>
        <w:t>the following options</w:t>
      </w:r>
      <w:r>
        <w:rPr>
          <w:iCs/>
        </w:rPr>
        <w:t xml:space="preserve"> can be considered. </w:t>
      </w:r>
    </w:p>
    <w:p w14:paraId="50DA66DB" w14:textId="77777777" w:rsidR="00397287" w:rsidRDefault="00397287" w:rsidP="00EF568A">
      <w:pPr>
        <w:tabs>
          <w:tab w:val="left" w:pos="640"/>
        </w:tabs>
        <w:jc w:val="both"/>
        <w:rPr>
          <w:iCs/>
        </w:rPr>
      </w:pPr>
    </w:p>
    <w:p w14:paraId="2E6A5D1E" w14:textId="135DE710" w:rsidR="0003361A" w:rsidRDefault="00397287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In the first option, the </w:t>
      </w:r>
      <w:r w:rsidR="00C97CD1">
        <w:rPr>
          <w:iCs/>
        </w:rPr>
        <w:t xml:space="preserve">legacy </w:t>
      </w:r>
      <w:r>
        <w:rPr>
          <w:iCs/>
        </w:rPr>
        <w:t xml:space="preserve">S-SSB </w:t>
      </w:r>
      <w:r w:rsidR="00673E42">
        <w:rPr>
          <w:iCs/>
        </w:rPr>
        <w:t>is</w:t>
      </w:r>
      <w:r>
        <w:rPr>
          <w:iCs/>
        </w:rPr>
        <w:t xml:space="preserve"> </w:t>
      </w:r>
      <w:r w:rsidR="00C97CD1">
        <w:rPr>
          <w:iCs/>
        </w:rPr>
        <w:t>duplicated</w:t>
      </w:r>
      <w:r>
        <w:rPr>
          <w:iCs/>
        </w:rPr>
        <w:t xml:space="preserve"> in frequency domain such that it occup</w:t>
      </w:r>
      <w:r w:rsidR="00673E42">
        <w:rPr>
          <w:iCs/>
        </w:rPr>
        <w:t>ies</w:t>
      </w:r>
      <w:r>
        <w:rPr>
          <w:iCs/>
        </w:rPr>
        <w:t xml:space="preserve"> enough bandwidth. For example, at sub-carrier spacing of </w:t>
      </w:r>
      <w:r w:rsidR="00D25255">
        <w:rPr>
          <w:iCs/>
        </w:rPr>
        <w:t>30</w:t>
      </w:r>
      <w:r>
        <w:rPr>
          <w:iCs/>
        </w:rPr>
        <w:t xml:space="preserve"> kHz, the 20 MHz </w:t>
      </w:r>
      <w:r w:rsidR="00D25255">
        <w:t>nominal channel</w:t>
      </w:r>
      <w:r>
        <w:rPr>
          <w:iCs/>
        </w:rPr>
        <w:t xml:space="preserve"> bandwidth is of 51 PRBs. To meet the OCB requirement, the legacy S-SSB could be duplicate 4 times</w:t>
      </w:r>
      <w:r w:rsidR="00C97CD1">
        <w:rPr>
          <w:iCs/>
        </w:rPr>
        <w:t xml:space="preserve"> (i.e., 44 PRBs) in frequency domain. At sub-carrier spacing of </w:t>
      </w:r>
      <w:r w:rsidR="00D25255">
        <w:rPr>
          <w:iCs/>
        </w:rPr>
        <w:t>15</w:t>
      </w:r>
      <w:r w:rsidR="00C97CD1">
        <w:rPr>
          <w:iCs/>
        </w:rPr>
        <w:t xml:space="preserve"> kHz, the 20 MHz </w:t>
      </w:r>
      <w:r w:rsidR="00D25255">
        <w:t>nominal channel</w:t>
      </w:r>
      <w:r w:rsidR="00C97CD1">
        <w:rPr>
          <w:iCs/>
        </w:rPr>
        <w:t xml:space="preserve"> bandwidth is of 106 PRBs, the legacy S-SSB could be duplicated 8 times (i.e., 88 PRBs) in frequency domain.</w:t>
      </w:r>
      <w:r w:rsidR="001161BE">
        <w:rPr>
          <w:iCs/>
        </w:rPr>
        <w:t xml:space="preserve"> </w:t>
      </w:r>
      <w:r w:rsidR="00673E42">
        <w:rPr>
          <w:iCs/>
        </w:rPr>
        <w:t>One</w:t>
      </w:r>
      <w:r w:rsidR="001161BE">
        <w:rPr>
          <w:iCs/>
        </w:rPr>
        <w:t xml:space="preserve"> advantage of this option is no modification of S-SSB structure. </w:t>
      </w:r>
      <w:r w:rsidR="009C110D">
        <w:rPr>
          <w:iCs/>
        </w:rPr>
        <w:t xml:space="preserve">However, </w:t>
      </w:r>
      <w:r w:rsidR="00D25255">
        <w:rPr>
          <w:iCs/>
        </w:rPr>
        <w:t xml:space="preserve">this option has </w:t>
      </w:r>
      <w:r w:rsidR="0003361A">
        <w:rPr>
          <w:iCs/>
        </w:rPr>
        <w:t xml:space="preserve">a </w:t>
      </w:r>
      <w:r w:rsidR="009C110D">
        <w:rPr>
          <w:iCs/>
        </w:rPr>
        <w:t>significant resource waste.</w:t>
      </w:r>
      <w:r w:rsidR="0003361A">
        <w:rPr>
          <w:iCs/>
        </w:rPr>
        <w:t xml:space="preserve"> </w:t>
      </w:r>
      <w:r w:rsidR="009C110D">
        <w:rPr>
          <w:iCs/>
        </w:rPr>
        <w:t xml:space="preserve">This option is illustrated </w:t>
      </w:r>
      <w:r w:rsidR="009C110D">
        <w:rPr>
          <w:iCs/>
        </w:rPr>
        <w:fldChar w:fldCharType="begin"/>
      </w:r>
      <w:r w:rsidR="009C110D">
        <w:rPr>
          <w:iCs/>
        </w:rPr>
        <w:instrText xml:space="preserve"> REF _Ref101797223 \h </w:instrText>
      </w:r>
      <w:r w:rsidR="009C110D">
        <w:rPr>
          <w:iCs/>
        </w:rPr>
      </w:r>
      <w:r w:rsidR="009C110D">
        <w:rPr>
          <w:iCs/>
        </w:rPr>
        <w:fldChar w:fldCharType="separate"/>
      </w:r>
      <w:r w:rsidR="009C110D">
        <w:t xml:space="preserve">Figure </w:t>
      </w:r>
      <w:r w:rsidR="009C110D">
        <w:rPr>
          <w:noProof/>
        </w:rPr>
        <w:t>1</w:t>
      </w:r>
      <w:r w:rsidR="009C110D">
        <w:rPr>
          <w:iCs/>
        </w:rPr>
        <w:fldChar w:fldCharType="end"/>
      </w:r>
      <w:r w:rsidR="009C110D">
        <w:rPr>
          <w:iCs/>
        </w:rPr>
        <w:t>.</w:t>
      </w:r>
    </w:p>
    <w:p w14:paraId="5B764694" w14:textId="77777777" w:rsidR="0003361A" w:rsidRDefault="0003361A" w:rsidP="00EF568A">
      <w:pPr>
        <w:tabs>
          <w:tab w:val="left" w:pos="640"/>
        </w:tabs>
        <w:jc w:val="both"/>
        <w:rPr>
          <w:iCs/>
        </w:rPr>
      </w:pPr>
    </w:p>
    <w:p w14:paraId="1E1EE940" w14:textId="779FCC1B" w:rsidR="009C110D" w:rsidRPr="0003361A" w:rsidRDefault="009C110D" w:rsidP="00EF568A">
      <w:pPr>
        <w:tabs>
          <w:tab w:val="left" w:pos="640"/>
        </w:tabs>
        <w:jc w:val="both"/>
      </w:pPr>
      <w:r>
        <w:rPr>
          <w:iCs/>
        </w:rPr>
        <w:t>Note that in the figure,</w:t>
      </w:r>
      <w:r w:rsidR="0003361A">
        <w:rPr>
          <w:iCs/>
        </w:rPr>
        <w:t xml:space="preserve"> we consider defining S-SSB burst transmission window, </w:t>
      </w:r>
      <w:r w:rsidR="0003361A" w:rsidRPr="0003361A">
        <w:t>which include multiple S-SSB transmission opportunities</w:t>
      </w:r>
      <w:r w:rsidR="0003361A">
        <w:t>. The multiple S-SSB transmission opportunities are useful in case of LBT failure for S-SSB transmission.</w:t>
      </w:r>
    </w:p>
    <w:p w14:paraId="5FCD427D" w14:textId="607CAB32" w:rsidR="009C110D" w:rsidRDefault="009C110D" w:rsidP="00EF568A">
      <w:pPr>
        <w:tabs>
          <w:tab w:val="left" w:pos="640"/>
        </w:tabs>
        <w:jc w:val="both"/>
        <w:rPr>
          <w:iCs/>
        </w:rPr>
      </w:pPr>
    </w:p>
    <w:p w14:paraId="02C05DF8" w14:textId="28B34E7F" w:rsidR="009C110D" w:rsidRDefault="005423E0" w:rsidP="009C110D">
      <w:pPr>
        <w:keepNext/>
        <w:tabs>
          <w:tab w:val="left" w:pos="640"/>
        </w:tabs>
        <w:jc w:val="center"/>
      </w:pPr>
      <w:r w:rsidRPr="005423E0">
        <w:rPr>
          <w:noProof/>
        </w:rPr>
        <w:lastRenderedPageBreak/>
        <w:drawing>
          <wp:inline distT="0" distB="0" distL="0" distR="0" wp14:anchorId="01D72E50" wp14:editId="24816DFD">
            <wp:extent cx="4476750" cy="2369579"/>
            <wp:effectExtent l="0" t="0" r="0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4576" cy="237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6DECB" w14:textId="4F66D738" w:rsidR="00397287" w:rsidRDefault="009C110D" w:rsidP="009C110D">
      <w:pPr>
        <w:pStyle w:val="Caption"/>
        <w:rPr>
          <w:iCs/>
        </w:rPr>
      </w:pPr>
      <w:bookmarkStart w:id="0" w:name="_Ref101797223"/>
      <w:r>
        <w:t xml:space="preserve">Figure </w:t>
      </w:r>
      <w:r w:rsidR="009F626B">
        <w:fldChar w:fldCharType="begin"/>
      </w:r>
      <w:r w:rsidR="009F626B">
        <w:instrText xml:space="preserve"> SEQ Figure \* ARABIC </w:instrText>
      </w:r>
      <w:r w:rsidR="009F626B">
        <w:fldChar w:fldCharType="separate"/>
      </w:r>
      <w:r w:rsidR="0003361A">
        <w:rPr>
          <w:noProof/>
        </w:rPr>
        <w:t>1</w:t>
      </w:r>
      <w:r w:rsidR="009F626B">
        <w:rPr>
          <w:noProof/>
        </w:rPr>
        <w:fldChar w:fldCharType="end"/>
      </w:r>
      <w:bookmarkEnd w:id="0"/>
      <w:r>
        <w:t>: S-SSB frequency domain repetition</w:t>
      </w:r>
    </w:p>
    <w:p w14:paraId="005E25C6" w14:textId="77777777" w:rsidR="009C110D" w:rsidRDefault="009C110D" w:rsidP="00EF568A">
      <w:pPr>
        <w:tabs>
          <w:tab w:val="left" w:pos="640"/>
        </w:tabs>
        <w:jc w:val="both"/>
        <w:rPr>
          <w:iCs/>
        </w:rPr>
      </w:pPr>
    </w:p>
    <w:p w14:paraId="42F91A2E" w14:textId="5F893604" w:rsidR="00475652" w:rsidRDefault="00C97CD1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In the second option, the legacy S-SSB </w:t>
      </w:r>
      <w:r w:rsidR="00673E42">
        <w:rPr>
          <w:iCs/>
        </w:rPr>
        <w:t>is</w:t>
      </w:r>
      <w:r>
        <w:rPr>
          <w:iCs/>
        </w:rPr>
        <w:t xml:space="preserve"> extended in frequency domain such that i</w:t>
      </w:r>
      <w:r w:rsidR="00673E42">
        <w:rPr>
          <w:iCs/>
        </w:rPr>
        <w:t>t</w:t>
      </w:r>
      <w:r>
        <w:rPr>
          <w:iCs/>
        </w:rPr>
        <w:t xml:space="preserve"> occup</w:t>
      </w:r>
      <w:r w:rsidR="00673E42">
        <w:rPr>
          <w:iCs/>
        </w:rPr>
        <w:t>ies</w:t>
      </w:r>
      <w:r>
        <w:rPr>
          <w:iCs/>
        </w:rPr>
        <w:t xml:space="preserve"> enough bandwidth. In one way, longer sequences for sidelink PSS and sidelink SSS are used to match a large number of sub-carriers. Subsequently, the number of</w:t>
      </w:r>
      <w:r w:rsidR="00673E42">
        <w:rPr>
          <w:iCs/>
        </w:rPr>
        <w:t xml:space="preserve"> sub-carrier</w:t>
      </w:r>
      <w:r>
        <w:rPr>
          <w:iCs/>
        </w:rPr>
        <w:t xml:space="preserve">s for PSBCH is increased </w:t>
      </w:r>
      <w:r w:rsidR="00673E42">
        <w:rPr>
          <w:iCs/>
        </w:rPr>
        <w:t>to fulfill the bandwidth</w:t>
      </w:r>
      <w:r w:rsidR="001161BE">
        <w:rPr>
          <w:iCs/>
        </w:rPr>
        <w:t xml:space="preserve">, which </w:t>
      </w:r>
      <w:r w:rsidR="00A72547">
        <w:rPr>
          <w:iCs/>
        </w:rPr>
        <w:t>increases</w:t>
      </w:r>
      <w:r w:rsidR="001161BE">
        <w:rPr>
          <w:iCs/>
        </w:rPr>
        <w:t xml:space="preserve"> the PSBCH transmission reliability. </w:t>
      </w:r>
      <w:r w:rsidR="00A72547">
        <w:rPr>
          <w:iCs/>
        </w:rPr>
        <w:t>This</w:t>
      </w:r>
      <w:r w:rsidR="001161BE">
        <w:rPr>
          <w:iCs/>
        </w:rPr>
        <w:t xml:space="preserve"> approach involves </w:t>
      </w:r>
      <w:r w:rsidR="00A72547">
        <w:rPr>
          <w:iCs/>
        </w:rPr>
        <w:t>a</w:t>
      </w:r>
      <w:r w:rsidR="001161BE">
        <w:rPr>
          <w:iCs/>
        </w:rPr>
        <w:t xml:space="preserve"> new design of sidelink PSS and sidelink PSS sequences</w:t>
      </w:r>
      <w:r w:rsidR="00673E42">
        <w:rPr>
          <w:iCs/>
        </w:rPr>
        <w:t xml:space="preserve">. </w:t>
      </w:r>
      <w:r w:rsidR="0003361A">
        <w:rPr>
          <w:iCs/>
        </w:rPr>
        <w:t xml:space="preserve">This is illustrated in </w:t>
      </w:r>
      <w:r w:rsidR="0003361A">
        <w:rPr>
          <w:iCs/>
        </w:rPr>
        <w:fldChar w:fldCharType="begin"/>
      </w:r>
      <w:r w:rsidR="0003361A">
        <w:rPr>
          <w:iCs/>
        </w:rPr>
        <w:instrText xml:space="preserve"> REF _Ref101798465 \h </w:instrText>
      </w:r>
      <w:r w:rsidR="0003361A">
        <w:rPr>
          <w:iCs/>
        </w:rPr>
      </w:r>
      <w:r w:rsidR="0003361A">
        <w:rPr>
          <w:iCs/>
        </w:rPr>
        <w:fldChar w:fldCharType="separate"/>
      </w:r>
      <w:r w:rsidR="0003361A">
        <w:t xml:space="preserve">Figure </w:t>
      </w:r>
      <w:r w:rsidR="0003361A">
        <w:rPr>
          <w:noProof/>
        </w:rPr>
        <w:t>2</w:t>
      </w:r>
      <w:r w:rsidR="0003361A">
        <w:rPr>
          <w:iCs/>
        </w:rPr>
        <w:fldChar w:fldCharType="end"/>
      </w:r>
      <w:r w:rsidR="0003361A">
        <w:rPr>
          <w:iCs/>
        </w:rPr>
        <w:t>.</w:t>
      </w:r>
    </w:p>
    <w:p w14:paraId="15614C60" w14:textId="50BBC8AE" w:rsidR="009C110D" w:rsidRDefault="009C110D" w:rsidP="00EF568A">
      <w:pPr>
        <w:tabs>
          <w:tab w:val="left" w:pos="640"/>
        </w:tabs>
        <w:jc w:val="both"/>
        <w:rPr>
          <w:iCs/>
        </w:rPr>
      </w:pPr>
    </w:p>
    <w:p w14:paraId="32DA4D57" w14:textId="77777777" w:rsidR="009C110D" w:rsidRDefault="009C110D" w:rsidP="009C110D">
      <w:pPr>
        <w:keepNext/>
        <w:tabs>
          <w:tab w:val="left" w:pos="640"/>
        </w:tabs>
        <w:jc w:val="center"/>
      </w:pPr>
      <w:r w:rsidRPr="009C110D">
        <w:rPr>
          <w:iCs/>
          <w:noProof/>
        </w:rPr>
        <w:drawing>
          <wp:inline distT="0" distB="0" distL="0" distR="0" wp14:anchorId="75952438" wp14:editId="22EB47E0">
            <wp:extent cx="4334719" cy="2454048"/>
            <wp:effectExtent l="0" t="0" r="0" b="0"/>
            <wp:docPr id="2" name="Picture 2" descr="A picture containing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bar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4291" cy="2465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E91D4" w14:textId="3324B4C3" w:rsidR="009C110D" w:rsidRDefault="009C110D" w:rsidP="009C110D">
      <w:pPr>
        <w:pStyle w:val="Caption"/>
        <w:rPr>
          <w:iCs/>
        </w:rPr>
      </w:pPr>
      <w:bookmarkStart w:id="1" w:name="_Ref101798465"/>
      <w:r>
        <w:t xml:space="preserve">Figure </w:t>
      </w:r>
      <w:r w:rsidR="009F626B">
        <w:fldChar w:fldCharType="begin"/>
      </w:r>
      <w:r w:rsidR="009F626B">
        <w:instrText xml:space="preserve"> SEQ Figure \*</w:instrText>
      </w:r>
      <w:r w:rsidR="009F626B">
        <w:instrText xml:space="preserve"> ARABIC </w:instrText>
      </w:r>
      <w:r w:rsidR="009F626B">
        <w:fldChar w:fldCharType="separate"/>
      </w:r>
      <w:r w:rsidR="0003361A">
        <w:rPr>
          <w:noProof/>
        </w:rPr>
        <w:t>2</w:t>
      </w:r>
      <w:r w:rsidR="009F626B">
        <w:rPr>
          <w:noProof/>
        </w:rPr>
        <w:fldChar w:fldCharType="end"/>
      </w:r>
      <w:bookmarkEnd w:id="1"/>
      <w:r>
        <w:t xml:space="preserve">: </w:t>
      </w:r>
      <w:r w:rsidRPr="00FE5F60">
        <w:t>S-SSB structure modifications</w:t>
      </w:r>
    </w:p>
    <w:p w14:paraId="42270FF5" w14:textId="77777777" w:rsidR="00475652" w:rsidRDefault="00475652" w:rsidP="00EF568A">
      <w:pPr>
        <w:tabs>
          <w:tab w:val="left" w:pos="640"/>
        </w:tabs>
        <w:jc w:val="both"/>
        <w:rPr>
          <w:iCs/>
        </w:rPr>
      </w:pPr>
    </w:p>
    <w:p w14:paraId="571D68E4" w14:textId="5B21EBFA" w:rsidR="00397287" w:rsidRDefault="001161BE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>In another way, the legacy sequences for sidelink PSS and sidelink SSS are used, but the PSBCH is FDM-ed with sidelink PSS and sidelink SSS</w:t>
      </w:r>
      <w:r w:rsidR="00673E42">
        <w:rPr>
          <w:iCs/>
        </w:rPr>
        <w:t>. This is similar to the SSB</w:t>
      </w:r>
      <w:r w:rsidR="00A72547">
        <w:rPr>
          <w:iCs/>
        </w:rPr>
        <w:t xml:space="preserve"> structure</w:t>
      </w:r>
      <w:r w:rsidR="00673E42">
        <w:rPr>
          <w:iCs/>
        </w:rPr>
        <w:t xml:space="preserve"> in </w:t>
      </w:r>
      <w:proofErr w:type="spellStart"/>
      <w:r w:rsidR="00673E42">
        <w:rPr>
          <w:iCs/>
        </w:rPr>
        <w:t>Uu</w:t>
      </w:r>
      <w:proofErr w:type="spellEnd"/>
      <w:r w:rsidR="00673E42">
        <w:rPr>
          <w:iCs/>
        </w:rPr>
        <w:t xml:space="preserve"> link.</w:t>
      </w:r>
      <w:r>
        <w:rPr>
          <w:iCs/>
        </w:rPr>
        <w:t xml:space="preserve"> In this way, each S-SSB occupies only 4 OFDM symbols, leading to more than one channel access opportunity for S-SSB transmission within </w:t>
      </w:r>
      <w:r w:rsidR="00673E42">
        <w:rPr>
          <w:iCs/>
        </w:rPr>
        <w:t>a</w:t>
      </w:r>
      <w:r>
        <w:rPr>
          <w:iCs/>
        </w:rPr>
        <w:t xml:space="preserve"> slot. </w:t>
      </w:r>
      <w:r w:rsidR="00475652">
        <w:rPr>
          <w:iCs/>
        </w:rPr>
        <w:t xml:space="preserve">This approach involves the modification of S-SSB structure. </w:t>
      </w:r>
      <w:r w:rsidR="00A72547">
        <w:rPr>
          <w:iCs/>
        </w:rPr>
        <w:t>One</w:t>
      </w:r>
      <w:r w:rsidR="000841CC">
        <w:rPr>
          <w:iCs/>
        </w:rPr>
        <w:t xml:space="preserve"> advantage of this approach is that multiple S-SSB transmission opportunities are within a single slot, which largely save</w:t>
      </w:r>
      <w:r w:rsidR="00A72547">
        <w:rPr>
          <w:iCs/>
        </w:rPr>
        <w:t>s</w:t>
      </w:r>
      <w:r w:rsidR="000841CC">
        <w:rPr>
          <w:iCs/>
        </w:rPr>
        <w:t xml:space="preserve"> sidelink resources. This is illustrated in </w:t>
      </w:r>
      <w:r w:rsidR="000841CC">
        <w:rPr>
          <w:iCs/>
        </w:rPr>
        <w:fldChar w:fldCharType="begin"/>
      </w:r>
      <w:r w:rsidR="000841CC">
        <w:rPr>
          <w:iCs/>
        </w:rPr>
        <w:instrText xml:space="preserve"> REF _Ref101798857 \h </w:instrText>
      </w:r>
      <w:r w:rsidR="000841CC">
        <w:rPr>
          <w:iCs/>
        </w:rPr>
      </w:r>
      <w:r w:rsidR="000841CC">
        <w:rPr>
          <w:iCs/>
        </w:rPr>
        <w:fldChar w:fldCharType="separate"/>
      </w:r>
      <w:r w:rsidR="000841CC">
        <w:t>Fi</w:t>
      </w:r>
      <w:r w:rsidR="000841CC">
        <w:t>g</w:t>
      </w:r>
      <w:r w:rsidR="000841CC">
        <w:t xml:space="preserve">ure </w:t>
      </w:r>
      <w:r w:rsidR="000841CC">
        <w:rPr>
          <w:noProof/>
        </w:rPr>
        <w:t>3</w:t>
      </w:r>
      <w:r w:rsidR="000841CC">
        <w:rPr>
          <w:iCs/>
        </w:rPr>
        <w:fldChar w:fldCharType="end"/>
      </w:r>
      <w:r w:rsidR="000841CC">
        <w:rPr>
          <w:iCs/>
        </w:rPr>
        <w:t>.</w:t>
      </w:r>
    </w:p>
    <w:p w14:paraId="56B1730B" w14:textId="70974D20" w:rsidR="0003361A" w:rsidRDefault="0003361A" w:rsidP="00EF568A">
      <w:pPr>
        <w:tabs>
          <w:tab w:val="left" w:pos="640"/>
        </w:tabs>
        <w:jc w:val="both"/>
        <w:rPr>
          <w:iCs/>
        </w:rPr>
      </w:pPr>
    </w:p>
    <w:p w14:paraId="74916003" w14:textId="77777777" w:rsidR="0003361A" w:rsidRDefault="0003361A" w:rsidP="0003361A">
      <w:pPr>
        <w:keepNext/>
        <w:tabs>
          <w:tab w:val="left" w:pos="640"/>
        </w:tabs>
        <w:jc w:val="center"/>
      </w:pPr>
      <w:r w:rsidRPr="0003361A">
        <w:rPr>
          <w:iCs/>
          <w:noProof/>
        </w:rPr>
        <w:lastRenderedPageBreak/>
        <w:drawing>
          <wp:inline distT="0" distB="0" distL="0" distR="0" wp14:anchorId="68C0BFAD" wp14:editId="38D41474">
            <wp:extent cx="4356100" cy="2466153"/>
            <wp:effectExtent l="0" t="0" r="0" b="0"/>
            <wp:docPr id="3" name="Picture 3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graphical user interfac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2505" cy="2475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97C8" w14:textId="7964160F" w:rsidR="001161BE" w:rsidRDefault="0003361A" w:rsidP="005423E0">
      <w:pPr>
        <w:pStyle w:val="Caption"/>
        <w:rPr>
          <w:iCs/>
        </w:rPr>
      </w:pPr>
      <w:bookmarkStart w:id="2" w:name="_Ref101798857"/>
      <w:r>
        <w:t xml:space="preserve">Figure </w:t>
      </w:r>
      <w:r w:rsidR="009F626B">
        <w:fldChar w:fldCharType="begin"/>
      </w:r>
      <w:r w:rsidR="009F626B">
        <w:instrText xml:space="preserve"> SEQ Figure \* ARABIC </w:instrText>
      </w:r>
      <w:r w:rsidR="009F626B">
        <w:fldChar w:fldCharType="separate"/>
      </w:r>
      <w:r>
        <w:rPr>
          <w:noProof/>
        </w:rPr>
        <w:t>3</w:t>
      </w:r>
      <w:r w:rsidR="009F626B">
        <w:rPr>
          <w:noProof/>
        </w:rPr>
        <w:fldChar w:fldCharType="end"/>
      </w:r>
      <w:bookmarkEnd w:id="2"/>
      <w:r w:rsidRPr="00207036">
        <w:t>: S-SSB structure modifications</w:t>
      </w:r>
      <w:r>
        <w:t xml:space="preserve"> with partial slot</w:t>
      </w:r>
    </w:p>
    <w:p w14:paraId="474ADCBF" w14:textId="7FB1F9FA" w:rsidR="00A9128D" w:rsidRDefault="001161BE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In the third option, we could make use of the regulation exemption for the S-SSB transmission. </w:t>
      </w:r>
      <w:r w:rsidR="00A9128D">
        <w:rPr>
          <w:iCs/>
        </w:rPr>
        <w:t>The following limits (</w:t>
      </w:r>
      <w:r w:rsidR="00A9128D">
        <w:rPr>
          <w:iCs/>
        </w:rPr>
        <w:fldChar w:fldCharType="begin"/>
      </w:r>
      <w:r w:rsidR="00A9128D">
        <w:rPr>
          <w:iCs/>
        </w:rPr>
        <w:instrText xml:space="preserve"> REF _Ref101793852 \h </w:instrText>
      </w:r>
      <w:r w:rsidR="00A9128D">
        <w:rPr>
          <w:iCs/>
        </w:rPr>
      </w:r>
      <w:r w:rsidR="00A9128D">
        <w:rPr>
          <w:iCs/>
        </w:rPr>
        <w:fldChar w:fldCharType="separate"/>
      </w:r>
      <w:r w:rsidR="000841CC">
        <w:t xml:space="preserve">Figure </w:t>
      </w:r>
      <w:r w:rsidR="000841CC">
        <w:rPr>
          <w:noProof/>
        </w:rPr>
        <w:t>4</w:t>
      </w:r>
      <w:r w:rsidR="00A9128D">
        <w:rPr>
          <w:iCs/>
        </w:rPr>
        <w:fldChar w:fldCharType="end"/>
      </w:r>
      <w:r w:rsidR="00A9128D">
        <w:rPr>
          <w:iCs/>
        </w:rPr>
        <w:t xml:space="preserve">) are copied from </w:t>
      </w:r>
      <w:r>
        <w:rPr>
          <w:iCs/>
        </w:rPr>
        <w:t>r</w:t>
      </w:r>
      <w:r w:rsidR="00397287">
        <w:rPr>
          <w:iCs/>
        </w:rPr>
        <w:t xml:space="preserve">egulation </w:t>
      </w:r>
      <w:r w:rsidR="00397287">
        <w:rPr>
          <w:iCs/>
        </w:rPr>
        <w:fldChar w:fldCharType="begin"/>
      </w:r>
      <w:r w:rsidR="00397287">
        <w:rPr>
          <w:iCs/>
        </w:rPr>
        <w:instrText xml:space="preserve"> REF _Ref101263304 \r \h </w:instrText>
      </w:r>
      <w:r w:rsidR="00397287">
        <w:rPr>
          <w:iCs/>
        </w:rPr>
      </w:r>
      <w:r w:rsidR="00397287">
        <w:rPr>
          <w:iCs/>
        </w:rPr>
        <w:fldChar w:fldCharType="separate"/>
      </w:r>
      <w:r w:rsidR="00397287">
        <w:rPr>
          <w:iCs/>
        </w:rPr>
        <w:t>[2]</w:t>
      </w:r>
      <w:r w:rsidR="00397287">
        <w:rPr>
          <w:iCs/>
        </w:rPr>
        <w:fldChar w:fldCharType="end"/>
      </w:r>
      <w:r w:rsidR="00A9128D">
        <w:rPr>
          <w:iCs/>
        </w:rPr>
        <w:t>:</w:t>
      </w:r>
    </w:p>
    <w:p w14:paraId="020D423B" w14:textId="02F8767B" w:rsidR="00A9128D" w:rsidRDefault="00A9128D" w:rsidP="00EF568A">
      <w:pPr>
        <w:tabs>
          <w:tab w:val="left" w:pos="640"/>
        </w:tabs>
        <w:jc w:val="both"/>
        <w:rPr>
          <w:iCs/>
        </w:rPr>
      </w:pPr>
    </w:p>
    <w:p w14:paraId="26226883" w14:textId="77777777" w:rsidR="00A9128D" w:rsidRDefault="00A9128D" w:rsidP="00A9128D">
      <w:pPr>
        <w:keepNext/>
        <w:tabs>
          <w:tab w:val="left" w:pos="640"/>
        </w:tabs>
        <w:jc w:val="center"/>
      </w:pPr>
      <w:r w:rsidRPr="00A9128D">
        <w:rPr>
          <w:iCs/>
          <w:noProof/>
        </w:rPr>
        <w:drawing>
          <wp:inline distT="0" distB="0" distL="0" distR="0" wp14:anchorId="077E22EA" wp14:editId="1988DD72">
            <wp:extent cx="6120765" cy="2032635"/>
            <wp:effectExtent l="0" t="0" r="635" b="0"/>
            <wp:docPr id="4" name="Picture 4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, let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A2673" w14:textId="1145D96D" w:rsidR="00A9128D" w:rsidRDefault="00A9128D" w:rsidP="005423E0">
      <w:pPr>
        <w:pStyle w:val="Caption"/>
        <w:rPr>
          <w:iCs/>
        </w:rPr>
      </w:pPr>
      <w:bookmarkStart w:id="3" w:name="_Ref101793852"/>
      <w:r>
        <w:t xml:space="preserve">Figure </w:t>
      </w:r>
      <w:r w:rsidR="009F626B">
        <w:fldChar w:fldCharType="begin"/>
      </w:r>
      <w:r w:rsidR="009F626B">
        <w:instrText xml:space="preserve"> SEQ Figure \* ARABIC </w:instrText>
      </w:r>
      <w:r w:rsidR="009F626B">
        <w:fldChar w:fldCharType="separate"/>
      </w:r>
      <w:r w:rsidR="0003361A">
        <w:rPr>
          <w:noProof/>
        </w:rPr>
        <w:t>4</w:t>
      </w:r>
      <w:r w:rsidR="009F626B">
        <w:rPr>
          <w:noProof/>
        </w:rPr>
        <w:fldChar w:fldCharType="end"/>
      </w:r>
      <w:bookmarkEnd w:id="3"/>
      <w:r>
        <w:t>: Nominal channel bandwidth and occupied channel bandwidth</w:t>
      </w:r>
    </w:p>
    <w:p w14:paraId="5C4BAD50" w14:textId="2B16F568" w:rsidR="00E03E99" w:rsidRDefault="00A9128D" w:rsidP="00E03E99">
      <w:pPr>
        <w:tabs>
          <w:tab w:val="left" w:pos="640"/>
        </w:tabs>
        <w:jc w:val="both"/>
        <w:rPr>
          <w:iCs/>
        </w:rPr>
      </w:pPr>
      <w:r>
        <w:rPr>
          <w:iCs/>
        </w:rPr>
        <w:t>D</w:t>
      </w:r>
      <w:r w:rsidR="00AE7153">
        <w:rPr>
          <w:iCs/>
        </w:rPr>
        <w:t>uring a COT, UE may operate tempo</w:t>
      </w:r>
      <w:r w:rsidR="00397287">
        <w:rPr>
          <w:iCs/>
        </w:rPr>
        <w:t xml:space="preserve">rarily with an OCB of less than 80% of its nominal channel bandwidth with a minimum of 2 </w:t>
      </w:r>
      <w:proofErr w:type="spellStart"/>
      <w:r w:rsidR="00397287">
        <w:rPr>
          <w:iCs/>
        </w:rPr>
        <w:t>MHz.</w:t>
      </w:r>
      <w:proofErr w:type="spellEnd"/>
      <w:r w:rsidR="00397287">
        <w:rPr>
          <w:iCs/>
        </w:rPr>
        <w:t xml:space="preserve"> The legacy S-SSB occupies 11 PRBs in frequency</w:t>
      </w:r>
      <w:r w:rsidR="001161BE">
        <w:rPr>
          <w:iCs/>
        </w:rPr>
        <w:t xml:space="preserve">, which is at least 2 MHz bandwidth. Furthermore, the periodicity of S-SSB transmission is 160 </w:t>
      </w:r>
      <w:proofErr w:type="spellStart"/>
      <w:r w:rsidR="001161BE">
        <w:rPr>
          <w:iCs/>
        </w:rPr>
        <w:t>ms</w:t>
      </w:r>
      <w:proofErr w:type="spellEnd"/>
      <w:r w:rsidR="001161BE">
        <w:rPr>
          <w:iCs/>
        </w:rPr>
        <w:t>, which implies an infrequent channel occupancy. Hence, it is worth to examine whether the S-SSB transmission could be based on the exemptional usage</w:t>
      </w:r>
      <w:r w:rsidR="00673E42">
        <w:rPr>
          <w:iCs/>
        </w:rPr>
        <w:t xml:space="preserve"> of unlicensed spectrum</w:t>
      </w:r>
      <w:r w:rsidR="001161BE">
        <w:rPr>
          <w:iCs/>
        </w:rPr>
        <w:t xml:space="preserve">. The advantage of this option is that no modification of S-SSB structure </w:t>
      </w:r>
      <w:r w:rsidR="00E03E99">
        <w:rPr>
          <w:iCs/>
        </w:rPr>
        <w:t xml:space="preserve">is </w:t>
      </w:r>
      <w:r w:rsidR="001161BE">
        <w:rPr>
          <w:iCs/>
        </w:rPr>
        <w:t>needed for the operations on unlicensed spectrum.</w:t>
      </w:r>
      <w:r w:rsidR="00C60A12">
        <w:rPr>
          <w:iCs/>
        </w:rPr>
        <w:t xml:space="preserve"> </w:t>
      </w:r>
      <w:r w:rsidR="00E03E99">
        <w:rPr>
          <w:iCs/>
        </w:rPr>
        <w:t xml:space="preserve">This is illustrated in </w:t>
      </w:r>
      <w:r w:rsidR="00E03E99">
        <w:rPr>
          <w:iCs/>
        </w:rPr>
        <w:fldChar w:fldCharType="begin"/>
      </w:r>
      <w:r w:rsidR="00E03E99">
        <w:rPr>
          <w:iCs/>
        </w:rPr>
        <w:instrText xml:space="preserve"> REF _Ref101793579 \h </w:instrText>
      </w:r>
      <w:r w:rsidR="00E03E99">
        <w:rPr>
          <w:iCs/>
        </w:rPr>
      </w:r>
      <w:r w:rsidR="00E03E99">
        <w:rPr>
          <w:iCs/>
        </w:rPr>
        <w:fldChar w:fldCharType="separate"/>
      </w:r>
      <w:r w:rsidR="00E03E99">
        <w:t xml:space="preserve">Figure </w:t>
      </w:r>
      <w:r w:rsidR="00E03E99">
        <w:rPr>
          <w:noProof/>
        </w:rPr>
        <w:t>5</w:t>
      </w:r>
      <w:r w:rsidR="00E03E99">
        <w:rPr>
          <w:iCs/>
        </w:rPr>
        <w:fldChar w:fldCharType="end"/>
      </w:r>
      <w:r w:rsidR="00E03E99">
        <w:rPr>
          <w:iCs/>
        </w:rPr>
        <w:t xml:space="preserve">. </w:t>
      </w:r>
    </w:p>
    <w:p w14:paraId="529DEB4C" w14:textId="77777777" w:rsidR="00C60A12" w:rsidRDefault="00C60A12" w:rsidP="00E03E99">
      <w:pPr>
        <w:tabs>
          <w:tab w:val="left" w:pos="640"/>
        </w:tabs>
        <w:jc w:val="both"/>
        <w:rPr>
          <w:iCs/>
        </w:rPr>
      </w:pPr>
    </w:p>
    <w:p w14:paraId="5E44B78B" w14:textId="77777777" w:rsidR="00E03E99" w:rsidRDefault="00E03E99" w:rsidP="00E03E99">
      <w:pPr>
        <w:keepNext/>
        <w:tabs>
          <w:tab w:val="left" w:pos="640"/>
        </w:tabs>
        <w:jc w:val="center"/>
      </w:pPr>
      <w:r w:rsidRPr="006660BB">
        <w:drawing>
          <wp:inline distT="0" distB="0" distL="0" distR="0" wp14:anchorId="40076518" wp14:editId="51054DDF">
            <wp:extent cx="4743450" cy="1728783"/>
            <wp:effectExtent l="0" t="0" r="0" b="0"/>
            <wp:docPr id="6" name="Picture 6" descr="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Logo&#10;&#10;Description automatically generated with low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3113" cy="1739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23567" w14:textId="77777777" w:rsidR="00E03E99" w:rsidRPr="00AE7153" w:rsidRDefault="00E03E99" w:rsidP="00E03E99">
      <w:pPr>
        <w:pStyle w:val="Caption"/>
        <w:rPr>
          <w:iCs/>
        </w:rPr>
      </w:pPr>
      <w:bookmarkStart w:id="4" w:name="_Ref1017935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4"/>
      <w:r>
        <w:t>: S</w:t>
      </w:r>
      <w:r w:rsidRPr="0003361A">
        <w:t>-SSB no modification based on regulation exemption</w:t>
      </w:r>
    </w:p>
    <w:p w14:paraId="58569857" w14:textId="77777777" w:rsidR="00C60A12" w:rsidRDefault="00C60A12" w:rsidP="009C110D">
      <w:pPr>
        <w:tabs>
          <w:tab w:val="left" w:pos="640"/>
        </w:tabs>
        <w:jc w:val="both"/>
        <w:rPr>
          <w:b/>
          <w:bCs/>
          <w:i/>
          <w:iCs/>
          <w:u w:val="single"/>
        </w:rPr>
      </w:pPr>
    </w:p>
    <w:p w14:paraId="5759A2CA" w14:textId="0D1F2E2E" w:rsidR="009C110D" w:rsidRPr="009C110D" w:rsidRDefault="00EF568A" w:rsidP="009C110D">
      <w:pPr>
        <w:tabs>
          <w:tab w:val="left" w:pos="640"/>
        </w:tabs>
        <w:jc w:val="both"/>
        <w:rPr>
          <w:i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AE7153">
        <w:rPr>
          <w:b/>
          <w:bCs/>
          <w:i/>
          <w:iCs/>
          <w:u w:val="single"/>
        </w:rPr>
        <w:t>4</w:t>
      </w:r>
      <w:r w:rsidRPr="003F245C">
        <w:rPr>
          <w:b/>
          <w:bCs/>
          <w:i/>
          <w:iCs/>
          <w:u w:val="single"/>
        </w:rPr>
        <w:t>:</w:t>
      </w:r>
      <w:r>
        <w:rPr>
          <w:i/>
        </w:rPr>
        <w:t xml:space="preserve"> </w:t>
      </w:r>
      <w:r w:rsidR="009C110D" w:rsidRPr="009C110D">
        <w:rPr>
          <w:i/>
          <w:iCs/>
        </w:rPr>
        <w:t>For sidelink operations on unlicensed spectrum to meet OCB requirement, consider three options for S-SSB transmission: 1). S-SSB frequency repetition, 2). Modify S-SSB structure to occupy a larger number of RBs, 3). No modification based on regulation exemption.</w:t>
      </w:r>
    </w:p>
    <w:p w14:paraId="26C0A90F" w14:textId="48227A04" w:rsidR="007E7D31" w:rsidRDefault="007E7D31" w:rsidP="00EF568A">
      <w:pPr>
        <w:tabs>
          <w:tab w:val="left" w:pos="640"/>
        </w:tabs>
        <w:jc w:val="both"/>
        <w:rPr>
          <w:i/>
        </w:rPr>
      </w:pPr>
    </w:p>
    <w:p w14:paraId="005BE1E7" w14:textId="3F66BE1F" w:rsidR="009C110D" w:rsidRPr="009C110D" w:rsidRDefault="007E7D31" w:rsidP="009C110D">
      <w:pPr>
        <w:tabs>
          <w:tab w:val="left" w:pos="640"/>
        </w:tabs>
        <w:jc w:val="both"/>
        <w:rPr>
          <w:i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9C110D">
        <w:rPr>
          <w:b/>
          <w:bCs/>
          <w:i/>
          <w:iCs/>
          <w:u w:val="single"/>
        </w:rPr>
        <w:t>5</w:t>
      </w:r>
      <w:r w:rsidRPr="003F245C">
        <w:rPr>
          <w:b/>
          <w:bCs/>
          <w:i/>
          <w:iCs/>
          <w:u w:val="single"/>
        </w:rPr>
        <w:t>:</w:t>
      </w:r>
      <w:r>
        <w:rPr>
          <w:i/>
        </w:rPr>
        <w:t xml:space="preserve"> </w:t>
      </w:r>
      <w:r w:rsidR="009C110D" w:rsidRPr="009C110D">
        <w:rPr>
          <w:i/>
          <w:iCs/>
        </w:rPr>
        <w:t>For sidelink operations on unlicensed spectrum, consider defining S-SSB burst transmission window which include</w:t>
      </w:r>
      <w:r w:rsidR="00A72547">
        <w:rPr>
          <w:i/>
          <w:iCs/>
        </w:rPr>
        <w:t>s</w:t>
      </w:r>
      <w:r w:rsidR="009C110D" w:rsidRPr="009C110D">
        <w:rPr>
          <w:i/>
          <w:iCs/>
        </w:rPr>
        <w:t xml:space="preserve"> multiple S-SSB transmission opportunities.</w:t>
      </w:r>
    </w:p>
    <w:p w14:paraId="0F419652" w14:textId="5FF60EEB" w:rsidR="00AE7153" w:rsidRDefault="00AE7153" w:rsidP="00EF568A">
      <w:pPr>
        <w:tabs>
          <w:tab w:val="left" w:pos="640"/>
        </w:tabs>
        <w:jc w:val="both"/>
        <w:rPr>
          <w:i/>
        </w:rPr>
      </w:pPr>
    </w:p>
    <w:p w14:paraId="649EDE6D" w14:textId="77777777" w:rsidR="00D90D3A" w:rsidRDefault="00475652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 xml:space="preserve">In </w:t>
      </w:r>
      <w:r w:rsidR="00673E42">
        <w:rPr>
          <w:iCs/>
        </w:rPr>
        <w:t xml:space="preserve">Release 16/17 </w:t>
      </w:r>
      <w:r>
        <w:rPr>
          <w:iCs/>
        </w:rPr>
        <w:t>NR sidelink frame structure, there exist</w:t>
      </w:r>
      <w:r w:rsidR="007D578E">
        <w:rPr>
          <w:iCs/>
        </w:rPr>
        <w:t>s</w:t>
      </w:r>
      <w:r>
        <w:rPr>
          <w:iCs/>
        </w:rPr>
        <w:t xml:space="preserve"> a GAP symbol for the transit between transmission and reception.</w:t>
      </w:r>
      <w:r w:rsidR="007D578E">
        <w:rPr>
          <w:iCs/>
        </w:rPr>
        <w:t xml:space="preserve"> The GAP symbol can be the last symbol of a slot</w:t>
      </w:r>
      <w:r w:rsidR="00D90D3A">
        <w:rPr>
          <w:iCs/>
        </w:rPr>
        <w:t xml:space="preserve"> or</w:t>
      </w:r>
      <w:r w:rsidR="007D578E">
        <w:rPr>
          <w:iCs/>
        </w:rPr>
        <w:t xml:space="preserve"> </w:t>
      </w:r>
      <w:r w:rsidR="00673E42">
        <w:rPr>
          <w:iCs/>
        </w:rPr>
        <w:t xml:space="preserve">can </w:t>
      </w:r>
      <w:r w:rsidR="007D578E">
        <w:rPr>
          <w:iCs/>
        </w:rPr>
        <w:t xml:space="preserve">be the symbol between PSSCH and PSFCH. </w:t>
      </w:r>
    </w:p>
    <w:p w14:paraId="388D21C1" w14:textId="77777777" w:rsidR="00D90D3A" w:rsidRDefault="00D90D3A" w:rsidP="00EF568A">
      <w:pPr>
        <w:tabs>
          <w:tab w:val="left" w:pos="640"/>
        </w:tabs>
        <w:jc w:val="both"/>
        <w:rPr>
          <w:iCs/>
        </w:rPr>
      </w:pPr>
    </w:p>
    <w:p w14:paraId="17F8AD47" w14:textId="25EA21CC" w:rsidR="00D90D3A" w:rsidRDefault="00A72547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>When a</w:t>
      </w:r>
      <w:r w:rsidR="00D90D3A">
        <w:rPr>
          <w:iCs/>
        </w:rPr>
        <w:t>n</w:t>
      </w:r>
      <w:r w:rsidR="007D578E">
        <w:rPr>
          <w:iCs/>
        </w:rPr>
        <w:t xml:space="preserve"> NR-U device </w:t>
      </w:r>
      <w:r>
        <w:rPr>
          <w:iCs/>
        </w:rPr>
        <w:t xml:space="preserve">performs LBT sensing during the GAP symbol duration of NR sidelink, it will </w:t>
      </w:r>
      <w:r w:rsidR="007D578E">
        <w:rPr>
          <w:iCs/>
        </w:rPr>
        <w:t xml:space="preserve">consider the channel </w:t>
      </w:r>
      <w:r>
        <w:rPr>
          <w:iCs/>
        </w:rPr>
        <w:t>is</w:t>
      </w:r>
      <w:r w:rsidR="007D578E">
        <w:rPr>
          <w:iCs/>
        </w:rPr>
        <w:t xml:space="preserve"> empty. Then, it is likely the</w:t>
      </w:r>
      <w:r w:rsidR="002E238E">
        <w:rPr>
          <w:iCs/>
        </w:rPr>
        <w:t xml:space="preserve"> NR-U device acquires the channel</w:t>
      </w:r>
      <w:r>
        <w:rPr>
          <w:iCs/>
        </w:rPr>
        <w:t>,</w:t>
      </w:r>
      <w:r w:rsidR="002E238E">
        <w:rPr>
          <w:iCs/>
        </w:rPr>
        <w:t xml:space="preserve"> </w:t>
      </w:r>
      <w:r>
        <w:rPr>
          <w:iCs/>
        </w:rPr>
        <w:t xml:space="preserve">which leads to the collision with NR sidelink transmissions. </w:t>
      </w:r>
    </w:p>
    <w:p w14:paraId="69E9F0E7" w14:textId="77777777" w:rsidR="00D90D3A" w:rsidRDefault="00D90D3A" w:rsidP="00EF568A">
      <w:pPr>
        <w:tabs>
          <w:tab w:val="left" w:pos="640"/>
        </w:tabs>
        <w:jc w:val="both"/>
        <w:rPr>
          <w:iCs/>
        </w:rPr>
      </w:pPr>
    </w:p>
    <w:p w14:paraId="6F10F760" w14:textId="12D32921" w:rsidR="00475652" w:rsidRDefault="007D578E" w:rsidP="00EF568A">
      <w:pPr>
        <w:tabs>
          <w:tab w:val="left" w:pos="640"/>
        </w:tabs>
        <w:jc w:val="both"/>
        <w:rPr>
          <w:iCs/>
        </w:rPr>
      </w:pPr>
      <w:r>
        <w:rPr>
          <w:iCs/>
        </w:rPr>
        <w:t>To avoid th</w:t>
      </w:r>
      <w:r w:rsidR="002E238E">
        <w:rPr>
          <w:iCs/>
        </w:rPr>
        <w:t xml:space="preserve">is </w:t>
      </w:r>
      <w:r w:rsidR="00D90D3A">
        <w:rPr>
          <w:iCs/>
        </w:rPr>
        <w:t>collision</w:t>
      </w:r>
      <w:r w:rsidR="002E238E">
        <w:rPr>
          <w:iCs/>
        </w:rPr>
        <w:t xml:space="preserve">, the CP extension on the AGC symbol can be considered. </w:t>
      </w:r>
      <w:r w:rsidR="00D90D3A">
        <w:rPr>
          <w:iCs/>
        </w:rPr>
        <w:t>A</w:t>
      </w:r>
      <w:r w:rsidR="002E238E">
        <w:rPr>
          <w:iCs/>
        </w:rPr>
        <w:t>n AGC symbol</w:t>
      </w:r>
      <w:r w:rsidR="00A72547">
        <w:rPr>
          <w:iCs/>
        </w:rPr>
        <w:t xml:space="preserve">, </w:t>
      </w:r>
      <w:r w:rsidR="002E238E">
        <w:rPr>
          <w:iCs/>
        </w:rPr>
        <w:t xml:space="preserve">either </w:t>
      </w:r>
      <w:r w:rsidR="00A72547">
        <w:rPr>
          <w:iCs/>
        </w:rPr>
        <w:t>the first symbol of</w:t>
      </w:r>
      <w:r w:rsidR="002E238E">
        <w:rPr>
          <w:iCs/>
        </w:rPr>
        <w:t xml:space="preserve"> PSCCH/PSSCH or </w:t>
      </w:r>
      <w:r w:rsidR="00A72547">
        <w:rPr>
          <w:iCs/>
        </w:rPr>
        <w:t>the first symbol of</w:t>
      </w:r>
      <w:r w:rsidR="002E238E">
        <w:rPr>
          <w:iCs/>
        </w:rPr>
        <w:t xml:space="preserve"> PSFCH</w:t>
      </w:r>
      <w:r w:rsidR="00A72547">
        <w:rPr>
          <w:iCs/>
        </w:rPr>
        <w:t>,</w:t>
      </w:r>
      <w:r w:rsidR="002E238E">
        <w:rPr>
          <w:iCs/>
        </w:rPr>
        <w:t xml:space="preserve"> is the symbol after the GAP symbol</w:t>
      </w:r>
      <w:r w:rsidR="00D90D3A">
        <w:rPr>
          <w:iCs/>
        </w:rPr>
        <w:t>. Wi</w:t>
      </w:r>
      <w:r w:rsidR="002E238E">
        <w:rPr>
          <w:iCs/>
        </w:rPr>
        <w:t xml:space="preserve">th </w:t>
      </w:r>
      <w:r w:rsidR="00D90D3A">
        <w:rPr>
          <w:iCs/>
        </w:rPr>
        <w:t>C</w:t>
      </w:r>
      <w:r w:rsidR="002E238E">
        <w:rPr>
          <w:iCs/>
        </w:rPr>
        <w:t>P extension on AGC symbol, the GAP symbol is</w:t>
      </w:r>
      <w:r w:rsidR="00D90D3A">
        <w:rPr>
          <w:iCs/>
        </w:rPr>
        <w:t xml:space="preserve"> </w:t>
      </w:r>
      <w:r w:rsidR="002E238E">
        <w:rPr>
          <w:iCs/>
        </w:rPr>
        <w:t xml:space="preserve">partially occupied. This CP extension can fill in the </w:t>
      </w:r>
      <w:r w:rsidR="00C44CE6">
        <w:rPr>
          <w:iCs/>
        </w:rPr>
        <w:t>LBT</w:t>
      </w:r>
      <w:r w:rsidR="002E238E">
        <w:rPr>
          <w:iCs/>
        </w:rPr>
        <w:t xml:space="preserve"> gap.</w:t>
      </w:r>
    </w:p>
    <w:p w14:paraId="6759F529" w14:textId="77777777" w:rsidR="007D578E" w:rsidRPr="007D578E" w:rsidRDefault="007D578E" w:rsidP="00EF568A">
      <w:pPr>
        <w:tabs>
          <w:tab w:val="left" w:pos="640"/>
        </w:tabs>
        <w:jc w:val="both"/>
        <w:rPr>
          <w:iCs/>
        </w:rPr>
      </w:pPr>
    </w:p>
    <w:p w14:paraId="00474435" w14:textId="554D2B8A" w:rsidR="00EF568A" w:rsidRDefault="00EF568A" w:rsidP="00EF568A">
      <w:pPr>
        <w:tabs>
          <w:tab w:val="left" w:pos="640"/>
        </w:tabs>
        <w:jc w:val="both"/>
        <w:rPr>
          <w:i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9C110D">
        <w:rPr>
          <w:b/>
          <w:bCs/>
          <w:i/>
          <w:iCs/>
          <w:u w:val="single"/>
        </w:rPr>
        <w:t>6</w:t>
      </w:r>
      <w:r w:rsidRPr="003F245C">
        <w:rPr>
          <w:b/>
          <w:bCs/>
          <w:i/>
          <w:iCs/>
          <w:u w:val="single"/>
        </w:rPr>
        <w:t>:</w:t>
      </w:r>
      <w:r>
        <w:rPr>
          <w:i/>
        </w:rPr>
        <w:t xml:space="preserve"> C</w:t>
      </w:r>
      <w:r w:rsidRPr="00EF568A">
        <w:rPr>
          <w:i/>
        </w:rPr>
        <w:t xml:space="preserve">onsider the CP extension on AGC symbol to fill in the </w:t>
      </w:r>
      <w:r w:rsidR="00C44CE6">
        <w:rPr>
          <w:i/>
        </w:rPr>
        <w:t>LBT</w:t>
      </w:r>
      <w:r w:rsidRPr="00EF568A">
        <w:rPr>
          <w:i/>
        </w:rPr>
        <w:t xml:space="preserve"> gap.</w:t>
      </w:r>
    </w:p>
    <w:p w14:paraId="52B8AC84" w14:textId="77777777" w:rsidR="00EF568A" w:rsidRPr="00EF568A" w:rsidRDefault="00EF568A" w:rsidP="00EF568A">
      <w:pPr>
        <w:tabs>
          <w:tab w:val="left" w:pos="640"/>
        </w:tabs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79022637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EF568A">
        <w:t xml:space="preserve">physical channel design framework for sidelink on FR1 unlicensed spectrum. </w:t>
      </w:r>
      <w:r>
        <w:t>Our</w:t>
      </w:r>
      <w:r w:rsidR="000D011A">
        <w:t xml:space="preserve"> </w:t>
      </w:r>
      <w:r>
        <w:t>proposals are as follows:</w:t>
      </w:r>
    </w:p>
    <w:p w14:paraId="7517B3AB" w14:textId="2BCCD921" w:rsidR="00CE46BC" w:rsidRDefault="00CE46BC" w:rsidP="00CE46BC">
      <w:pPr>
        <w:jc w:val="both"/>
        <w:rPr>
          <w:i/>
          <w:iCs/>
        </w:rPr>
      </w:pPr>
    </w:p>
    <w:p w14:paraId="2A55859F" w14:textId="77777777" w:rsidR="00673E42" w:rsidRDefault="00673E42" w:rsidP="00673E42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>Proposal 1:</w:t>
      </w:r>
      <w:r>
        <w:t xml:space="preserve"> </w:t>
      </w:r>
      <w:r w:rsidRPr="00EF568A">
        <w:rPr>
          <w:i/>
          <w:iCs/>
        </w:rPr>
        <w:t>For sidelink operations on unlicensed spectrum, a sidelink BWP</w:t>
      </w:r>
      <w:r>
        <w:rPr>
          <w:i/>
          <w:iCs/>
        </w:rPr>
        <w:t xml:space="preserve"> or a resource pool is</w:t>
      </w:r>
      <w:r w:rsidRPr="00EF568A">
        <w:rPr>
          <w:i/>
          <w:iCs/>
        </w:rPr>
        <w:t xml:space="preserve"> </w:t>
      </w:r>
      <w:r>
        <w:rPr>
          <w:i/>
          <w:iCs/>
        </w:rPr>
        <w:t xml:space="preserve">an </w:t>
      </w:r>
      <w:r w:rsidRPr="00EF568A">
        <w:rPr>
          <w:i/>
          <w:iCs/>
        </w:rPr>
        <w:t>integer multiple of 20 MHz bandwidth.</w:t>
      </w:r>
    </w:p>
    <w:p w14:paraId="6CB29D4E" w14:textId="77777777" w:rsidR="00CE46BC" w:rsidRDefault="00CE46BC" w:rsidP="00CE46BC">
      <w:pPr>
        <w:jc w:val="both"/>
        <w:rPr>
          <w:i/>
          <w:iCs/>
        </w:rPr>
      </w:pPr>
    </w:p>
    <w:p w14:paraId="6CE41D20" w14:textId="77777777" w:rsidR="00673E42" w:rsidRDefault="00673E42" w:rsidP="00673E42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Pr="00EF568A">
        <w:rPr>
          <w:i/>
          <w:iCs/>
        </w:rPr>
        <w:t>For sidelink operations on unlicensed spectrum,</w:t>
      </w:r>
      <w:r>
        <w:rPr>
          <w:i/>
          <w:iCs/>
        </w:rPr>
        <w:t xml:space="preserve"> a sub-channel is defined based on</w:t>
      </w:r>
      <w:r w:rsidRPr="00EF568A">
        <w:rPr>
          <w:i/>
          <w:iCs/>
        </w:rPr>
        <w:t xml:space="preserve"> interlaced </w:t>
      </w:r>
      <w:r>
        <w:rPr>
          <w:i/>
          <w:iCs/>
        </w:rPr>
        <w:t>RBs</w:t>
      </w:r>
      <w:r w:rsidRPr="00EF568A">
        <w:rPr>
          <w:i/>
          <w:iCs/>
        </w:rPr>
        <w:t xml:space="preserve"> to meet the OCB requirement.</w:t>
      </w:r>
    </w:p>
    <w:p w14:paraId="063E43E6" w14:textId="77777777" w:rsidR="00673E42" w:rsidRPr="009B04D4" w:rsidRDefault="00673E42" w:rsidP="00673E4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An</w:t>
      </w:r>
      <w:r w:rsidRPr="009B04D4">
        <w:rPr>
          <w:rFonts w:ascii="Times New Roman" w:hAnsi="Times New Roman"/>
          <w:i/>
          <w:iCs/>
          <w:sz w:val="24"/>
          <w:szCs w:val="24"/>
        </w:rPr>
        <w:t xml:space="preserve"> interlace occupies 10 or 11 PRBs</w:t>
      </w:r>
    </w:p>
    <w:p w14:paraId="1DBF77FE" w14:textId="77777777" w:rsidR="00673E42" w:rsidRDefault="00673E42" w:rsidP="00673E4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EF568A">
        <w:rPr>
          <w:rFonts w:ascii="Times New Roman" w:hAnsi="Times New Roman"/>
          <w:i/>
          <w:iCs/>
          <w:sz w:val="24"/>
          <w:szCs w:val="24"/>
        </w:rPr>
        <w:t xml:space="preserve">PRB spacing </w:t>
      </w:r>
      <w:r>
        <w:rPr>
          <w:rFonts w:ascii="Times New Roman" w:hAnsi="Times New Roman"/>
          <w:i/>
          <w:iCs/>
          <w:sz w:val="24"/>
          <w:szCs w:val="24"/>
        </w:rPr>
        <w:t>with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in </w:t>
      </w:r>
      <w:r>
        <w:rPr>
          <w:rFonts w:ascii="Times New Roman" w:hAnsi="Times New Roman"/>
          <w:i/>
          <w:iCs/>
          <w:sz w:val="24"/>
          <w:szCs w:val="24"/>
        </w:rPr>
        <w:t>an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interlace is </w:t>
      </w:r>
      <w:r>
        <w:rPr>
          <w:rFonts w:ascii="Times New Roman" w:hAnsi="Times New Roman"/>
          <w:i/>
          <w:iCs/>
          <w:sz w:val="24"/>
          <w:szCs w:val="24"/>
        </w:rPr>
        <w:t>10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or 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PRBs</w:t>
      </w:r>
      <w:r>
        <w:rPr>
          <w:rFonts w:ascii="Times New Roman" w:hAnsi="Times New Roman"/>
          <w:i/>
          <w:iCs/>
          <w:sz w:val="24"/>
          <w:szCs w:val="24"/>
        </w:rPr>
        <w:t xml:space="preserve"> for 15 kHz or 30 kHz sub-carrier spacing</w:t>
      </w:r>
    </w:p>
    <w:p w14:paraId="556B0FE8" w14:textId="77777777" w:rsidR="00673E42" w:rsidRPr="009B04D4" w:rsidRDefault="00673E42" w:rsidP="00673E4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 sub-channel is configured as 1 or more contiguous interlaces</w:t>
      </w:r>
    </w:p>
    <w:p w14:paraId="174635A7" w14:textId="77777777" w:rsidR="00CE46BC" w:rsidRDefault="00CE46BC" w:rsidP="00CE46BC">
      <w:pPr>
        <w:tabs>
          <w:tab w:val="left" w:pos="640"/>
        </w:tabs>
        <w:jc w:val="both"/>
        <w:rPr>
          <w:i/>
        </w:rPr>
      </w:pPr>
    </w:p>
    <w:p w14:paraId="37FA2909" w14:textId="77777777" w:rsidR="00673E42" w:rsidRDefault="00673E42" w:rsidP="00673E42">
      <w:pPr>
        <w:tabs>
          <w:tab w:val="left" w:pos="640"/>
        </w:tabs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Pr="00EF568A">
        <w:rPr>
          <w:i/>
          <w:iCs/>
        </w:rPr>
        <w:t>For</w:t>
      </w:r>
      <w:r>
        <w:rPr>
          <w:i/>
          <w:iCs/>
        </w:rPr>
        <w:t xml:space="preserve"> sidelink operations on unlicensed spectrum, a PSFCH resource is based on interlaced RBs to meet the OCB requirement.</w:t>
      </w:r>
    </w:p>
    <w:p w14:paraId="130504A1" w14:textId="77777777" w:rsidR="00673E42" w:rsidRDefault="00673E42" w:rsidP="00673E4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4A3594">
        <w:rPr>
          <w:rFonts w:ascii="Times New Roman" w:hAnsi="Times New Roman"/>
          <w:i/>
          <w:iCs/>
          <w:sz w:val="24"/>
          <w:szCs w:val="24"/>
        </w:rPr>
        <w:t xml:space="preserve">PSFCH </w:t>
      </w:r>
      <w:r>
        <w:rPr>
          <w:rFonts w:ascii="Times New Roman" w:hAnsi="Times New Roman"/>
          <w:i/>
          <w:iCs/>
          <w:sz w:val="24"/>
          <w:szCs w:val="24"/>
        </w:rPr>
        <w:t>resource is composed of 10 or 11 PRBs</w:t>
      </w:r>
    </w:p>
    <w:p w14:paraId="428F5D78" w14:textId="77777777" w:rsidR="00673E42" w:rsidRDefault="00673E42" w:rsidP="00673E4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PRB spacing within a PSFCH resource</w:t>
      </w:r>
      <w:r w:rsidRPr="004A359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is </w:t>
      </w:r>
      <w:r>
        <w:rPr>
          <w:rFonts w:ascii="Times New Roman" w:hAnsi="Times New Roman"/>
          <w:i/>
          <w:iCs/>
          <w:sz w:val="24"/>
          <w:szCs w:val="24"/>
        </w:rPr>
        <w:t>10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or 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EF568A">
        <w:rPr>
          <w:rFonts w:ascii="Times New Roman" w:hAnsi="Times New Roman"/>
          <w:i/>
          <w:iCs/>
          <w:sz w:val="24"/>
          <w:szCs w:val="24"/>
        </w:rPr>
        <w:t xml:space="preserve"> PRBs</w:t>
      </w:r>
      <w:r>
        <w:rPr>
          <w:rFonts w:ascii="Times New Roman" w:hAnsi="Times New Roman"/>
          <w:i/>
          <w:iCs/>
          <w:sz w:val="24"/>
          <w:szCs w:val="24"/>
        </w:rPr>
        <w:t xml:space="preserve"> for 15 kHz or 30 kHz sub-carrier spacing</w:t>
      </w:r>
    </w:p>
    <w:p w14:paraId="11019B4A" w14:textId="77777777" w:rsidR="00673E42" w:rsidRPr="004A3594" w:rsidRDefault="00673E42" w:rsidP="00673E4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PSFCH sequences on different PRBs in a PSFCH resource are generated based on cyclic shift cycling. </w:t>
      </w:r>
    </w:p>
    <w:p w14:paraId="36955845" w14:textId="5B270A96" w:rsidR="00CE46BC" w:rsidRDefault="00CE46BC" w:rsidP="00CE46BC">
      <w:pPr>
        <w:tabs>
          <w:tab w:val="left" w:pos="640"/>
        </w:tabs>
        <w:jc w:val="both"/>
        <w:rPr>
          <w:i/>
        </w:rPr>
      </w:pPr>
    </w:p>
    <w:p w14:paraId="1429DF9D" w14:textId="77777777" w:rsidR="00692778" w:rsidRPr="009C110D" w:rsidRDefault="00692778" w:rsidP="00692778">
      <w:pPr>
        <w:tabs>
          <w:tab w:val="left" w:pos="640"/>
        </w:tabs>
        <w:jc w:val="both"/>
        <w:rPr>
          <w:i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3F245C">
        <w:rPr>
          <w:b/>
          <w:bCs/>
          <w:i/>
          <w:iCs/>
          <w:u w:val="single"/>
        </w:rPr>
        <w:t>:</w:t>
      </w:r>
      <w:r>
        <w:rPr>
          <w:i/>
        </w:rPr>
        <w:t xml:space="preserve"> </w:t>
      </w:r>
      <w:r w:rsidRPr="009C110D">
        <w:rPr>
          <w:i/>
          <w:iCs/>
        </w:rPr>
        <w:t>For sidelink operations on unlicensed spectrum to meet OCB requirement, consider three options for S-SSB transmission: 1). S-SSB frequency repetition, 2). Modify S-SSB structure to occupy a larger number of RBs, 3). No modification based on regulation exemption.</w:t>
      </w:r>
    </w:p>
    <w:p w14:paraId="2574424F" w14:textId="77777777" w:rsidR="00692778" w:rsidRDefault="00692778" w:rsidP="00692778">
      <w:pPr>
        <w:tabs>
          <w:tab w:val="left" w:pos="640"/>
        </w:tabs>
        <w:jc w:val="both"/>
        <w:rPr>
          <w:i/>
        </w:rPr>
      </w:pPr>
    </w:p>
    <w:p w14:paraId="7D3E2908" w14:textId="77777777" w:rsidR="00A72547" w:rsidRPr="009C110D" w:rsidRDefault="00A72547" w:rsidP="00A72547">
      <w:pPr>
        <w:tabs>
          <w:tab w:val="left" w:pos="640"/>
        </w:tabs>
        <w:jc w:val="both"/>
        <w:rPr>
          <w:i/>
        </w:rPr>
      </w:pPr>
      <w:r w:rsidRPr="003F245C">
        <w:rPr>
          <w:b/>
          <w:bCs/>
          <w:i/>
          <w:iCs/>
          <w:u w:val="single"/>
        </w:rPr>
        <w:lastRenderedPageBreak/>
        <w:t xml:space="preserve">Proposal </w:t>
      </w:r>
      <w:r>
        <w:rPr>
          <w:b/>
          <w:bCs/>
          <w:i/>
          <w:iCs/>
          <w:u w:val="single"/>
        </w:rPr>
        <w:t>5</w:t>
      </w:r>
      <w:r w:rsidRPr="003F245C">
        <w:rPr>
          <w:b/>
          <w:bCs/>
          <w:i/>
          <w:iCs/>
          <w:u w:val="single"/>
        </w:rPr>
        <w:t>:</w:t>
      </w:r>
      <w:r>
        <w:rPr>
          <w:i/>
        </w:rPr>
        <w:t xml:space="preserve"> </w:t>
      </w:r>
      <w:r w:rsidRPr="009C110D">
        <w:rPr>
          <w:i/>
          <w:iCs/>
        </w:rPr>
        <w:t>For sidelink operations on unlicensed spectrum, consider defining S-SSB burst transmission window which include</w:t>
      </w:r>
      <w:r>
        <w:rPr>
          <w:i/>
          <w:iCs/>
        </w:rPr>
        <w:t>s</w:t>
      </w:r>
      <w:r w:rsidRPr="009C110D">
        <w:rPr>
          <w:i/>
          <w:iCs/>
        </w:rPr>
        <w:t xml:space="preserve"> multiple S-SSB transmission opportunities.</w:t>
      </w:r>
    </w:p>
    <w:p w14:paraId="03CDF3CA" w14:textId="77777777" w:rsidR="00673E42" w:rsidRDefault="00673E42" w:rsidP="00CE46BC">
      <w:pPr>
        <w:tabs>
          <w:tab w:val="left" w:pos="640"/>
        </w:tabs>
        <w:jc w:val="both"/>
        <w:rPr>
          <w:i/>
        </w:rPr>
      </w:pPr>
    </w:p>
    <w:p w14:paraId="6591CC5D" w14:textId="60ED2D81" w:rsidR="00673E42" w:rsidRDefault="00C44CE6" w:rsidP="00673E42">
      <w:pPr>
        <w:tabs>
          <w:tab w:val="left" w:pos="640"/>
        </w:tabs>
        <w:jc w:val="both"/>
        <w:rPr>
          <w:i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3F245C">
        <w:rPr>
          <w:b/>
          <w:bCs/>
          <w:i/>
          <w:iCs/>
          <w:u w:val="single"/>
        </w:rPr>
        <w:t>:</w:t>
      </w:r>
      <w:r>
        <w:rPr>
          <w:i/>
        </w:rPr>
        <w:t xml:space="preserve"> C</w:t>
      </w:r>
      <w:r w:rsidRPr="00EF568A">
        <w:rPr>
          <w:i/>
        </w:rPr>
        <w:t xml:space="preserve">onsider the CP extension on AGC symbol to fill in the </w:t>
      </w:r>
      <w:r>
        <w:rPr>
          <w:i/>
        </w:rPr>
        <w:t>LBT</w:t>
      </w:r>
      <w:r w:rsidRPr="00EF568A">
        <w:rPr>
          <w:i/>
        </w:rPr>
        <w:t xml:space="preserve"> gap.</w:t>
      </w:r>
    </w:p>
    <w:p w14:paraId="361FD2B1" w14:textId="77777777" w:rsidR="00397CC3" w:rsidRPr="00A50B92" w:rsidRDefault="00397CC3" w:rsidP="00A50B92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61043D0" w14:textId="0F60565A" w:rsidR="00AF1D90" w:rsidRDefault="00FA72BF" w:rsidP="00FA72B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OLE_LINK1"/>
      <w:bookmarkStart w:id="6" w:name="OLE_LINK2"/>
      <w:bookmarkStart w:id="7" w:name="_Ref99716514"/>
      <w:bookmarkStart w:id="8" w:name="_Ref46220695"/>
      <w:r w:rsidRPr="00FA72BF">
        <w:t>RP-213678</w:t>
      </w:r>
      <w:bookmarkEnd w:id="5"/>
      <w:bookmarkEnd w:id="6"/>
      <w:r>
        <w:t>, “New WID on NR sidelink evolution,” Dec. 2021.</w:t>
      </w:r>
      <w:bookmarkEnd w:id="7"/>
      <w:r>
        <w:t xml:space="preserve"> </w:t>
      </w:r>
      <w:bookmarkEnd w:id="8"/>
    </w:p>
    <w:p w14:paraId="7DDD670D" w14:textId="08C9325C" w:rsidR="006C66EE" w:rsidRPr="00EF568A" w:rsidRDefault="006C66EE" w:rsidP="00FA72B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101263304"/>
      <w:r>
        <w:t xml:space="preserve">ETSI </w:t>
      </w:r>
      <w:r w:rsidRPr="006C66EE">
        <w:t>EN 301 893</w:t>
      </w:r>
      <w:r>
        <w:t xml:space="preserve">, 5 GHz RLAN; </w:t>
      </w:r>
      <w:r w:rsidR="00475652">
        <w:t>Harmonized</w:t>
      </w:r>
      <w:r>
        <w:t xml:space="preserve"> standard covering the essential requirements of article 3.2 of directive 2014/53/EU</w:t>
      </w:r>
      <w:r w:rsidR="000E5C88">
        <w:t>, v2.1.1, May 2017.</w:t>
      </w:r>
      <w:bookmarkEnd w:id="9"/>
      <w:r w:rsidR="000E5C88">
        <w:t xml:space="preserve"> </w:t>
      </w:r>
    </w:p>
    <w:sectPr w:rsidR="006C66EE" w:rsidRPr="00EF568A" w:rsidSect="0082776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A87EE" w14:textId="77777777" w:rsidR="009F626B" w:rsidRDefault="009F626B">
      <w:r>
        <w:separator/>
      </w:r>
    </w:p>
  </w:endnote>
  <w:endnote w:type="continuationSeparator" w:id="0">
    <w:p w14:paraId="16E8CC10" w14:textId="77777777" w:rsidR="009F626B" w:rsidRDefault="009F626B">
      <w:r>
        <w:continuationSeparator/>
      </w:r>
    </w:p>
  </w:endnote>
  <w:endnote w:type="continuationNotice" w:id="1">
    <w:p w14:paraId="3BC27429" w14:textId="77777777" w:rsidR="009F626B" w:rsidRDefault="009F6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swiss"/>
    <w:notTrueType/>
    <w:pitch w:val="variable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0D011A" w:rsidRDefault="000D01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70447" w14:textId="77777777" w:rsidR="009F626B" w:rsidRDefault="009F626B">
      <w:r>
        <w:separator/>
      </w:r>
    </w:p>
  </w:footnote>
  <w:footnote w:type="continuationSeparator" w:id="0">
    <w:p w14:paraId="5D21E5D6" w14:textId="77777777" w:rsidR="009F626B" w:rsidRDefault="009F626B">
      <w:r>
        <w:continuationSeparator/>
      </w:r>
    </w:p>
  </w:footnote>
  <w:footnote w:type="continuationNotice" w:id="1">
    <w:p w14:paraId="29DE4572" w14:textId="77777777" w:rsidR="009F626B" w:rsidRDefault="009F62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30732"/>
    <w:multiLevelType w:val="hybridMultilevel"/>
    <w:tmpl w:val="429A7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80F3E"/>
    <w:multiLevelType w:val="hybridMultilevel"/>
    <w:tmpl w:val="495E3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919D4"/>
    <w:multiLevelType w:val="hybridMultilevel"/>
    <w:tmpl w:val="ABD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34422"/>
    <w:multiLevelType w:val="hybridMultilevel"/>
    <w:tmpl w:val="035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92C2A"/>
    <w:multiLevelType w:val="hybridMultilevel"/>
    <w:tmpl w:val="EDD49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77D18"/>
    <w:multiLevelType w:val="hybridMultilevel"/>
    <w:tmpl w:val="B79C7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668BE"/>
    <w:multiLevelType w:val="hybridMultilevel"/>
    <w:tmpl w:val="060C4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1777CB"/>
    <w:multiLevelType w:val="hybridMultilevel"/>
    <w:tmpl w:val="F062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BD8"/>
    <w:multiLevelType w:val="hybridMultilevel"/>
    <w:tmpl w:val="3BAE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4DBC"/>
    <w:multiLevelType w:val="hybridMultilevel"/>
    <w:tmpl w:val="CF602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D1FDD"/>
    <w:multiLevelType w:val="hybridMultilevel"/>
    <w:tmpl w:val="DDF49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75E7F"/>
    <w:multiLevelType w:val="hybridMultilevel"/>
    <w:tmpl w:val="FB18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437C7"/>
    <w:multiLevelType w:val="hybridMultilevel"/>
    <w:tmpl w:val="325E9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77DE1"/>
    <w:multiLevelType w:val="hybridMultilevel"/>
    <w:tmpl w:val="01989096"/>
    <w:lvl w:ilvl="0" w:tplc="9FBA1AE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1" w15:restartNumberingAfterBreak="0">
    <w:nsid w:val="3B4C24BC"/>
    <w:multiLevelType w:val="hybridMultilevel"/>
    <w:tmpl w:val="17883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A2EF8"/>
    <w:multiLevelType w:val="hybridMultilevel"/>
    <w:tmpl w:val="43F43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1A2B39"/>
    <w:multiLevelType w:val="hybridMultilevel"/>
    <w:tmpl w:val="55E0D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6E17EF"/>
    <w:multiLevelType w:val="hybridMultilevel"/>
    <w:tmpl w:val="D2ACA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A4A88"/>
    <w:multiLevelType w:val="hybridMultilevel"/>
    <w:tmpl w:val="1642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AC4ED2"/>
    <w:multiLevelType w:val="hybridMultilevel"/>
    <w:tmpl w:val="93BE5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86581"/>
    <w:multiLevelType w:val="hybridMultilevel"/>
    <w:tmpl w:val="B64E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17F0A7C"/>
    <w:multiLevelType w:val="hybridMultilevel"/>
    <w:tmpl w:val="F67A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E77592"/>
    <w:multiLevelType w:val="hybridMultilevel"/>
    <w:tmpl w:val="48EC1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D6FD5"/>
    <w:multiLevelType w:val="hybridMultilevel"/>
    <w:tmpl w:val="6046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77044B"/>
    <w:multiLevelType w:val="hybridMultilevel"/>
    <w:tmpl w:val="FD0C3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293783"/>
    <w:multiLevelType w:val="hybridMultilevel"/>
    <w:tmpl w:val="B0DA1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450D4A"/>
    <w:multiLevelType w:val="hybridMultilevel"/>
    <w:tmpl w:val="BDFCE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F16B2"/>
    <w:multiLevelType w:val="hybridMultilevel"/>
    <w:tmpl w:val="B5C4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6730B"/>
    <w:multiLevelType w:val="hybridMultilevel"/>
    <w:tmpl w:val="F0B85FF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F4EE0B34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6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7" w15:restartNumberingAfterBreak="0">
    <w:nsid w:val="786B785D"/>
    <w:multiLevelType w:val="hybridMultilevel"/>
    <w:tmpl w:val="C7964184"/>
    <w:lvl w:ilvl="0" w:tplc="9FBA1AE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7ECD49AB"/>
    <w:multiLevelType w:val="hybridMultilevel"/>
    <w:tmpl w:val="F1586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20"/>
  </w:num>
  <w:num w:numId="4">
    <w:abstractNumId w:val="22"/>
  </w:num>
  <w:num w:numId="5">
    <w:abstractNumId w:val="17"/>
  </w:num>
  <w:num w:numId="6">
    <w:abstractNumId w:val="27"/>
  </w:num>
  <w:num w:numId="7">
    <w:abstractNumId w:val="36"/>
  </w:num>
  <w:num w:numId="8">
    <w:abstractNumId w:val="18"/>
  </w:num>
  <w:num w:numId="9">
    <w:abstractNumId w:val="34"/>
  </w:num>
  <w:num w:numId="10">
    <w:abstractNumId w:val="1"/>
  </w:num>
  <w:num w:numId="11">
    <w:abstractNumId w:val="25"/>
  </w:num>
  <w:num w:numId="12">
    <w:abstractNumId w:val="28"/>
  </w:num>
  <w:num w:numId="13">
    <w:abstractNumId w:val="45"/>
  </w:num>
  <w:num w:numId="14">
    <w:abstractNumId w:val="47"/>
  </w:num>
  <w:num w:numId="15">
    <w:abstractNumId w:val="19"/>
  </w:num>
  <w:num w:numId="16">
    <w:abstractNumId w:val="49"/>
  </w:num>
  <w:num w:numId="17">
    <w:abstractNumId w:val="14"/>
  </w:num>
  <w:num w:numId="18">
    <w:abstractNumId w:val="3"/>
  </w:num>
  <w:num w:numId="19">
    <w:abstractNumId w:val="23"/>
  </w:num>
  <w:num w:numId="20">
    <w:abstractNumId w:val="41"/>
  </w:num>
  <w:num w:numId="21">
    <w:abstractNumId w:val="38"/>
  </w:num>
  <w:num w:numId="22">
    <w:abstractNumId w:val="43"/>
  </w:num>
  <w:num w:numId="23">
    <w:abstractNumId w:val="8"/>
  </w:num>
  <w:num w:numId="24">
    <w:abstractNumId w:val="5"/>
  </w:num>
  <w:num w:numId="25">
    <w:abstractNumId w:val="32"/>
  </w:num>
  <w:num w:numId="26">
    <w:abstractNumId w:val="35"/>
  </w:num>
  <w:num w:numId="27">
    <w:abstractNumId w:val="4"/>
  </w:num>
  <w:num w:numId="28">
    <w:abstractNumId w:val="7"/>
  </w:num>
  <w:num w:numId="29">
    <w:abstractNumId w:val="11"/>
  </w:num>
  <w:num w:numId="30">
    <w:abstractNumId w:val="40"/>
  </w:num>
  <w:num w:numId="31">
    <w:abstractNumId w:val="30"/>
  </w:num>
  <w:num w:numId="32">
    <w:abstractNumId w:val="15"/>
  </w:num>
  <w:num w:numId="33">
    <w:abstractNumId w:val="9"/>
  </w:num>
  <w:num w:numId="34">
    <w:abstractNumId w:val="31"/>
  </w:num>
  <w:num w:numId="35">
    <w:abstractNumId w:val="10"/>
  </w:num>
  <w:num w:numId="36">
    <w:abstractNumId w:val="37"/>
  </w:num>
  <w:num w:numId="37">
    <w:abstractNumId w:val="46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2"/>
  </w:num>
  <w:num w:numId="40">
    <w:abstractNumId w:val="16"/>
  </w:num>
  <w:num w:numId="41">
    <w:abstractNumId w:val="21"/>
  </w:num>
  <w:num w:numId="42">
    <w:abstractNumId w:val="13"/>
  </w:num>
  <w:num w:numId="43">
    <w:abstractNumId w:val="6"/>
  </w:num>
  <w:num w:numId="44">
    <w:abstractNumId w:val="42"/>
  </w:num>
  <w:num w:numId="45">
    <w:abstractNumId w:val="24"/>
  </w:num>
  <w:num w:numId="46">
    <w:abstractNumId w:val="29"/>
  </w:num>
  <w:num w:numId="47">
    <w:abstractNumId w:val="48"/>
  </w:num>
  <w:num w:numId="48">
    <w:abstractNumId w:val="26"/>
  </w:num>
  <w:num w:numId="49">
    <w:abstractNumId w:val="44"/>
  </w:num>
  <w:num w:numId="50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61A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1CC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5C88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BE9"/>
    <w:rsid w:val="000F3F6C"/>
    <w:rsid w:val="000F4E73"/>
    <w:rsid w:val="000F5184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1BE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745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7FD2"/>
    <w:rsid w:val="0017002D"/>
    <w:rsid w:val="001701F0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B93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B08"/>
    <w:rsid w:val="002910B7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38E"/>
    <w:rsid w:val="002E2740"/>
    <w:rsid w:val="002E28C1"/>
    <w:rsid w:val="002E2E4F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BA1"/>
    <w:rsid w:val="00311096"/>
    <w:rsid w:val="00311702"/>
    <w:rsid w:val="00311E82"/>
    <w:rsid w:val="00312190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E7F"/>
    <w:rsid w:val="00330006"/>
    <w:rsid w:val="00330033"/>
    <w:rsid w:val="0033006B"/>
    <w:rsid w:val="0033073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A45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15BB"/>
    <w:rsid w:val="00381638"/>
    <w:rsid w:val="0038168D"/>
    <w:rsid w:val="00381A62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287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1D2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652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3594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717"/>
    <w:rsid w:val="004F7CF6"/>
    <w:rsid w:val="005003DC"/>
    <w:rsid w:val="00500988"/>
    <w:rsid w:val="00500BC2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3E0"/>
    <w:rsid w:val="00542897"/>
    <w:rsid w:val="00542899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2643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793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58C8"/>
    <w:rsid w:val="00616485"/>
    <w:rsid w:val="006169D7"/>
    <w:rsid w:val="00616CC6"/>
    <w:rsid w:val="006175CD"/>
    <w:rsid w:val="006203FF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3E4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25C"/>
    <w:rsid w:val="00680925"/>
    <w:rsid w:val="00680D2B"/>
    <w:rsid w:val="00681003"/>
    <w:rsid w:val="0068175D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2288"/>
    <w:rsid w:val="0069277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265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6EE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797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F43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24E1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78E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E7D3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07B72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62E7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F7"/>
    <w:rsid w:val="008342CC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90F"/>
    <w:rsid w:val="008F32C3"/>
    <w:rsid w:val="008F33DC"/>
    <w:rsid w:val="008F3989"/>
    <w:rsid w:val="008F3DA0"/>
    <w:rsid w:val="008F45A9"/>
    <w:rsid w:val="008F477F"/>
    <w:rsid w:val="008F4C65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2EF"/>
    <w:rsid w:val="009B04D4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1C0"/>
    <w:rsid w:val="009C04BA"/>
    <w:rsid w:val="009C053F"/>
    <w:rsid w:val="009C0B53"/>
    <w:rsid w:val="009C110D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B63"/>
    <w:rsid w:val="009F5E13"/>
    <w:rsid w:val="009F5E2F"/>
    <w:rsid w:val="009F5EAE"/>
    <w:rsid w:val="009F626B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00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547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28D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153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25D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5C68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71A6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038"/>
    <w:rsid w:val="00C2471F"/>
    <w:rsid w:val="00C24E68"/>
    <w:rsid w:val="00C2564C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4CE6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9AE"/>
    <w:rsid w:val="00C50F43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0A12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97CD1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034"/>
    <w:rsid w:val="00CB11DE"/>
    <w:rsid w:val="00CB1810"/>
    <w:rsid w:val="00CB1BD9"/>
    <w:rsid w:val="00CB1D2A"/>
    <w:rsid w:val="00CB1E82"/>
    <w:rsid w:val="00CB1F63"/>
    <w:rsid w:val="00CB238A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46BC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2365"/>
    <w:rsid w:val="00D2277F"/>
    <w:rsid w:val="00D22AA0"/>
    <w:rsid w:val="00D239A7"/>
    <w:rsid w:val="00D23BE5"/>
    <w:rsid w:val="00D23F47"/>
    <w:rsid w:val="00D23F95"/>
    <w:rsid w:val="00D242E0"/>
    <w:rsid w:val="00D24951"/>
    <w:rsid w:val="00D25155"/>
    <w:rsid w:val="00D251A0"/>
    <w:rsid w:val="00D25255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A3"/>
    <w:rsid w:val="00D52C29"/>
    <w:rsid w:val="00D5303E"/>
    <w:rsid w:val="00D53BB2"/>
    <w:rsid w:val="00D546FF"/>
    <w:rsid w:val="00D548D1"/>
    <w:rsid w:val="00D549DD"/>
    <w:rsid w:val="00D5544B"/>
    <w:rsid w:val="00D55AD5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4FEF"/>
    <w:rsid w:val="00D85B34"/>
    <w:rsid w:val="00D85C14"/>
    <w:rsid w:val="00D86189"/>
    <w:rsid w:val="00D86B71"/>
    <w:rsid w:val="00D86CA3"/>
    <w:rsid w:val="00D87003"/>
    <w:rsid w:val="00D870F7"/>
    <w:rsid w:val="00D871CE"/>
    <w:rsid w:val="00D87638"/>
    <w:rsid w:val="00D8787A"/>
    <w:rsid w:val="00D878A9"/>
    <w:rsid w:val="00D879A4"/>
    <w:rsid w:val="00D87C65"/>
    <w:rsid w:val="00D90993"/>
    <w:rsid w:val="00D90D3A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31D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0B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39C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3E9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2C15"/>
    <w:rsid w:val="00E33156"/>
    <w:rsid w:val="00E33CDD"/>
    <w:rsid w:val="00E34188"/>
    <w:rsid w:val="00E34499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1FF0"/>
    <w:rsid w:val="00E421D7"/>
    <w:rsid w:val="00E421D8"/>
    <w:rsid w:val="00E42775"/>
    <w:rsid w:val="00E4311E"/>
    <w:rsid w:val="00E431BF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5DA"/>
    <w:rsid w:val="00E466E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0725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C32"/>
    <w:rsid w:val="00EE5581"/>
    <w:rsid w:val="00EE5666"/>
    <w:rsid w:val="00EE5A1B"/>
    <w:rsid w:val="00EE626D"/>
    <w:rsid w:val="00EE674E"/>
    <w:rsid w:val="00EE6A74"/>
    <w:rsid w:val="00EE6AEB"/>
    <w:rsid w:val="00EE6B45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68A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985"/>
    <w:rsid w:val="00F96BDD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3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6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2022-04-29T17:14:00Z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